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A323A" w14:textId="77777777" w:rsidR="00111F68" w:rsidRPr="00763BEE" w:rsidRDefault="00F42F88" w:rsidP="005F231D">
      <w:pPr>
        <w:pStyle w:val="Default"/>
        <w:jc w:val="center"/>
        <w:rPr>
          <w:rStyle w:val="Strong"/>
          <w:rFonts w:ascii="Calibri" w:eastAsia="Times New Roman" w:hAnsi="Calibri" w:cs="Calibri"/>
          <w:sz w:val="28"/>
          <w:szCs w:val="28"/>
        </w:rPr>
      </w:pPr>
      <w:r w:rsidRPr="00763BEE">
        <w:rPr>
          <w:rStyle w:val="Strong"/>
          <w:rFonts w:ascii="Calibri" w:eastAsia="Times New Roman" w:hAnsi="Calibri" w:cs="Calibri"/>
          <w:sz w:val="28"/>
          <w:szCs w:val="28"/>
        </w:rPr>
        <w:t>Transfusion-associated circ</w:t>
      </w:r>
      <w:r w:rsidR="001A2DE2" w:rsidRPr="00763BEE">
        <w:rPr>
          <w:rStyle w:val="Strong"/>
          <w:rFonts w:ascii="Calibri" w:eastAsia="Times New Roman" w:hAnsi="Calibri" w:cs="Calibri"/>
          <w:sz w:val="28"/>
          <w:szCs w:val="28"/>
        </w:rPr>
        <w:t xml:space="preserve">ulatory overload </w:t>
      </w:r>
    </w:p>
    <w:p w14:paraId="1BFD8277" w14:textId="5D05C791" w:rsidR="00985F72" w:rsidRPr="00763BEE" w:rsidRDefault="001A2DE2" w:rsidP="005F231D">
      <w:pPr>
        <w:pStyle w:val="Default"/>
        <w:jc w:val="center"/>
        <w:rPr>
          <w:rStyle w:val="Strong"/>
          <w:rFonts w:ascii="Calibri" w:eastAsia="Times New Roman" w:hAnsi="Calibri" w:cs="Calibri"/>
          <w:sz w:val="28"/>
          <w:szCs w:val="28"/>
        </w:rPr>
      </w:pPr>
      <w:r w:rsidRPr="00763BEE">
        <w:rPr>
          <w:rStyle w:val="Strong"/>
          <w:rFonts w:ascii="Calibri" w:eastAsia="Times New Roman" w:hAnsi="Calibri" w:cs="Calibri"/>
          <w:sz w:val="28"/>
          <w:szCs w:val="28"/>
        </w:rPr>
        <w:t xml:space="preserve">(TACO; 2017 </w:t>
      </w:r>
      <w:r w:rsidR="00111F68" w:rsidRPr="00763BEE">
        <w:rPr>
          <w:rStyle w:val="Strong"/>
          <w:rFonts w:ascii="Calibri" w:eastAsia="Times New Roman" w:hAnsi="Calibri" w:cs="Calibri"/>
          <w:sz w:val="28"/>
          <w:szCs w:val="28"/>
        </w:rPr>
        <w:t>proposed reporting criteria</w:t>
      </w:r>
      <w:r w:rsidRPr="00763BEE">
        <w:rPr>
          <w:rStyle w:val="Strong"/>
          <w:rFonts w:ascii="Calibri" w:eastAsia="Times New Roman" w:hAnsi="Calibri" w:cs="Calibri"/>
          <w:sz w:val="28"/>
          <w:szCs w:val="28"/>
        </w:rPr>
        <w:t>)</w:t>
      </w:r>
    </w:p>
    <w:p w14:paraId="408EB949" w14:textId="77777777" w:rsidR="001A2DE2" w:rsidRPr="00763BEE" w:rsidRDefault="001A2DE2" w:rsidP="005F231D">
      <w:pPr>
        <w:pStyle w:val="Default"/>
        <w:jc w:val="center"/>
        <w:rPr>
          <w:rStyle w:val="Strong"/>
          <w:rFonts w:ascii="Calibri" w:eastAsia="Times New Roman" w:hAnsi="Calibri" w:cs="Calibri"/>
          <w:sz w:val="28"/>
          <w:szCs w:val="28"/>
        </w:rPr>
      </w:pPr>
      <w:r w:rsidRPr="00763BEE">
        <w:rPr>
          <w:rStyle w:val="Strong"/>
          <w:rFonts w:ascii="Calibri" w:eastAsia="Times New Roman" w:hAnsi="Calibri" w:cs="Calibri"/>
          <w:sz w:val="28"/>
          <w:szCs w:val="28"/>
        </w:rPr>
        <w:t>Transfusion-associated acute lung injury (TRALI)</w:t>
      </w:r>
    </w:p>
    <w:p w14:paraId="75F8046D" w14:textId="77777777" w:rsidR="001A2DE2" w:rsidRPr="00763BEE" w:rsidRDefault="001A2DE2" w:rsidP="005F231D">
      <w:pPr>
        <w:pStyle w:val="Default"/>
        <w:jc w:val="center"/>
        <w:rPr>
          <w:rStyle w:val="Strong"/>
          <w:rFonts w:ascii="Calibri" w:eastAsia="Times New Roman" w:hAnsi="Calibri" w:cs="Calibri"/>
          <w:sz w:val="28"/>
          <w:szCs w:val="28"/>
        </w:rPr>
      </w:pPr>
      <w:r w:rsidRPr="00763BEE">
        <w:rPr>
          <w:rStyle w:val="Strong"/>
          <w:rFonts w:ascii="Calibri" w:eastAsia="Times New Roman" w:hAnsi="Calibri" w:cs="Calibri"/>
          <w:sz w:val="28"/>
          <w:szCs w:val="28"/>
        </w:rPr>
        <w:t xml:space="preserve">Transfusion-associated dyspnoea (TAD) </w:t>
      </w:r>
    </w:p>
    <w:p w14:paraId="498B9CD1" w14:textId="58CD73D2" w:rsidR="001A2DE2" w:rsidRPr="00763BEE" w:rsidRDefault="001A2DE2" w:rsidP="005F231D">
      <w:pPr>
        <w:pStyle w:val="Default"/>
        <w:jc w:val="center"/>
        <w:rPr>
          <w:rStyle w:val="Strong"/>
          <w:rFonts w:ascii="Calibri" w:eastAsia="Times New Roman" w:hAnsi="Calibri" w:cs="Calibri"/>
          <w:sz w:val="28"/>
          <w:szCs w:val="28"/>
        </w:rPr>
      </w:pPr>
      <w:r w:rsidRPr="00763BEE">
        <w:rPr>
          <w:rStyle w:val="Strong"/>
          <w:rFonts w:ascii="Calibri" w:eastAsia="Times New Roman" w:hAnsi="Calibri" w:cs="Calibri"/>
          <w:sz w:val="28"/>
          <w:szCs w:val="28"/>
        </w:rPr>
        <w:t>Other transfusion reaction</w:t>
      </w:r>
    </w:p>
    <w:p w14:paraId="32A193C8" w14:textId="77777777" w:rsidR="00985F72" w:rsidRPr="00763BEE" w:rsidRDefault="00985F72" w:rsidP="005F231D">
      <w:pPr>
        <w:pStyle w:val="Default"/>
        <w:jc w:val="center"/>
        <w:rPr>
          <w:rStyle w:val="Strong"/>
          <w:rFonts w:ascii="Calibri" w:eastAsia="Times New Roman" w:hAnsi="Calibri" w:cs="Calibri"/>
          <w:sz w:val="28"/>
          <w:szCs w:val="28"/>
        </w:rPr>
      </w:pPr>
    </w:p>
    <w:p w14:paraId="7BAF3380" w14:textId="357979DB" w:rsidR="00985F72" w:rsidRPr="00763BEE" w:rsidRDefault="001A2DE2" w:rsidP="005F231D">
      <w:pPr>
        <w:pStyle w:val="Default"/>
        <w:jc w:val="center"/>
        <w:rPr>
          <w:rStyle w:val="Strong"/>
          <w:rFonts w:ascii="Calibri" w:eastAsia="Times New Roman" w:hAnsi="Calibri" w:cs="Calibri"/>
          <w:sz w:val="28"/>
          <w:szCs w:val="28"/>
        </w:rPr>
      </w:pPr>
      <w:r w:rsidRPr="00763BEE">
        <w:rPr>
          <w:rStyle w:val="Strong"/>
          <w:rFonts w:ascii="Calibri" w:eastAsia="Times New Roman" w:hAnsi="Calibri" w:cs="Calibri"/>
          <w:sz w:val="28"/>
          <w:szCs w:val="28"/>
        </w:rPr>
        <w:t>Definitions for use in validation phase 2, autumn 2017</w:t>
      </w:r>
    </w:p>
    <w:p w14:paraId="7179AD07" w14:textId="77777777" w:rsidR="00985F72" w:rsidRPr="00763BEE" w:rsidRDefault="00985F72" w:rsidP="005F231D">
      <w:pPr>
        <w:pStyle w:val="Default"/>
        <w:jc w:val="center"/>
        <w:rPr>
          <w:rStyle w:val="Strong"/>
          <w:rFonts w:ascii="Calibri" w:eastAsia="Times New Roman" w:hAnsi="Calibri" w:cs="Calibri"/>
          <w:sz w:val="28"/>
          <w:szCs w:val="28"/>
        </w:rPr>
      </w:pPr>
    </w:p>
    <w:p w14:paraId="07AAAF7F" w14:textId="77777777" w:rsidR="00985F72" w:rsidRPr="00763BEE" w:rsidRDefault="00985F72" w:rsidP="005F231D">
      <w:pPr>
        <w:spacing w:after="120" w:line="240" w:lineRule="auto"/>
        <w:rPr>
          <w:rFonts w:cs="Calibri"/>
          <w:sz w:val="28"/>
          <w:szCs w:val="28"/>
        </w:rPr>
      </w:pPr>
    </w:p>
    <w:p w14:paraId="3A1B6132" w14:textId="77777777" w:rsidR="00985F72" w:rsidRPr="00763BEE" w:rsidRDefault="00985F72" w:rsidP="005F231D">
      <w:pPr>
        <w:spacing w:after="120" w:line="240" w:lineRule="auto"/>
        <w:jc w:val="center"/>
        <w:rPr>
          <w:rFonts w:cs="Calibri"/>
          <w:sz w:val="28"/>
          <w:szCs w:val="28"/>
        </w:rPr>
      </w:pPr>
      <w:r w:rsidRPr="00763BEE">
        <w:rPr>
          <w:rFonts w:cs="Calibri"/>
          <w:i/>
          <w:color w:val="000000"/>
          <w:sz w:val="28"/>
          <w:szCs w:val="28"/>
        </w:rPr>
        <w:t>International Society of Blood Transfusion</w:t>
      </w:r>
    </w:p>
    <w:p w14:paraId="476C8EA2" w14:textId="77777777" w:rsidR="00985F72" w:rsidRPr="00763BEE" w:rsidRDefault="00985F72" w:rsidP="005F231D">
      <w:pPr>
        <w:spacing w:after="120" w:line="240" w:lineRule="auto"/>
        <w:jc w:val="center"/>
        <w:rPr>
          <w:rFonts w:cs="Calibri"/>
          <w:i/>
          <w:sz w:val="28"/>
          <w:szCs w:val="28"/>
        </w:rPr>
      </w:pPr>
      <w:r w:rsidRPr="00763BEE">
        <w:rPr>
          <w:rFonts w:cs="Calibri"/>
          <w:i/>
          <w:color w:val="000000"/>
          <w:sz w:val="28"/>
          <w:szCs w:val="28"/>
        </w:rPr>
        <w:t>Working Party on Haemovigilance</w:t>
      </w:r>
    </w:p>
    <w:p w14:paraId="2AA8C408" w14:textId="77777777" w:rsidR="00985F72" w:rsidRPr="00763BEE" w:rsidRDefault="00985F72" w:rsidP="005F231D">
      <w:pPr>
        <w:spacing w:after="120" w:line="240" w:lineRule="auto"/>
        <w:jc w:val="center"/>
        <w:rPr>
          <w:rFonts w:cs="Calibri"/>
          <w:i/>
          <w:sz w:val="28"/>
          <w:szCs w:val="28"/>
        </w:rPr>
      </w:pPr>
      <w:r w:rsidRPr="00763BEE">
        <w:rPr>
          <w:rFonts w:cs="Calibri"/>
          <w:i/>
          <w:sz w:val="28"/>
          <w:szCs w:val="28"/>
        </w:rPr>
        <w:t xml:space="preserve"> </w:t>
      </w:r>
    </w:p>
    <w:p w14:paraId="27751EF4" w14:textId="77777777" w:rsidR="00985F72" w:rsidRPr="00763BEE" w:rsidRDefault="00985F72" w:rsidP="005F231D">
      <w:pPr>
        <w:spacing w:after="120" w:line="240" w:lineRule="auto"/>
        <w:jc w:val="center"/>
        <w:rPr>
          <w:rFonts w:cs="Calibri"/>
          <w:i/>
          <w:sz w:val="28"/>
          <w:szCs w:val="28"/>
        </w:rPr>
      </w:pPr>
      <w:r w:rsidRPr="00763BEE">
        <w:rPr>
          <w:rFonts w:cs="Calibri"/>
          <w:i/>
          <w:sz w:val="28"/>
          <w:szCs w:val="28"/>
        </w:rPr>
        <w:t xml:space="preserve">in collaboration with </w:t>
      </w:r>
    </w:p>
    <w:p w14:paraId="650BFAAC" w14:textId="77777777" w:rsidR="00585266" w:rsidRPr="00763BEE" w:rsidRDefault="00985F72" w:rsidP="005F231D">
      <w:pPr>
        <w:spacing w:after="120" w:line="240" w:lineRule="auto"/>
        <w:jc w:val="center"/>
        <w:rPr>
          <w:rFonts w:cs="Calibri"/>
          <w:i/>
          <w:color w:val="000000"/>
          <w:sz w:val="28"/>
          <w:szCs w:val="28"/>
        </w:rPr>
      </w:pPr>
      <w:r w:rsidRPr="00763BEE">
        <w:rPr>
          <w:rFonts w:cs="Calibri"/>
          <w:i/>
          <w:color w:val="000000"/>
          <w:sz w:val="28"/>
          <w:szCs w:val="28"/>
        </w:rPr>
        <w:t>The International Haemovigilance Network</w:t>
      </w:r>
      <w:r w:rsidR="00585266" w:rsidRPr="00763BEE">
        <w:rPr>
          <w:rFonts w:cs="Calibri"/>
          <w:i/>
          <w:color w:val="000000"/>
          <w:sz w:val="28"/>
          <w:szCs w:val="28"/>
        </w:rPr>
        <w:t xml:space="preserve"> </w:t>
      </w:r>
    </w:p>
    <w:p w14:paraId="53314B62" w14:textId="2F133697" w:rsidR="00985F72" w:rsidRPr="00763BEE" w:rsidRDefault="00585266" w:rsidP="005F231D">
      <w:pPr>
        <w:spacing w:after="120" w:line="240" w:lineRule="auto"/>
        <w:jc w:val="center"/>
        <w:rPr>
          <w:rFonts w:cs="Calibri"/>
          <w:i/>
          <w:color w:val="000000"/>
          <w:sz w:val="28"/>
          <w:szCs w:val="28"/>
        </w:rPr>
      </w:pPr>
      <w:r w:rsidRPr="00763BEE">
        <w:rPr>
          <w:rFonts w:cs="Calibri"/>
          <w:i/>
          <w:color w:val="000000"/>
          <w:sz w:val="28"/>
          <w:szCs w:val="28"/>
        </w:rPr>
        <w:t>and AABB</w:t>
      </w:r>
    </w:p>
    <w:p w14:paraId="30E3B5CF" w14:textId="77777777" w:rsidR="00985F72" w:rsidRPr="00763BEE" w:rsidRDefault="00985F72" w:rsidP="005F231D">
      <w:pPr>
        <w:pStyle w:val="Default"/>
        <w:jc w:val="center"/>
        <w:rPr>
          <w:rStyle w:val="Strong"/>
          <w:rFonts w:ascii="Calibri" w:eastAsia="Times New Roman" w:hAnsi="Calibri" w:cs="Calibri"/>
          <w:sz w:val="28"/>
          <w:szCs w:val="28"/>
        </w:rPr>
      </w:pPr>
    </w:p>
    <w:p w14:paraId="4EF424B9" w14:textId="77777777" w:rsidR="00111F68" w:rsidRPr="00763BEE" w:rsidRDefault="00111F68" w:rsidP="00111F68">
      <w:pPr>
        <w:pStyle w:val="Default"/>
        <w:spacing w:after="200"/>
        <w:rPr>
          <w:rStyle w:val="Hyperlink"/>
          <w:rFonts w:ascii="Calibri" w:eastAsia="Times New Roman" w:hAnsi="Calibri" w:cs="Calibri"/>
          <w:color w:val="auto"/>
          <w:sz w:val="22"/>
          <w:szCs w:val="22"/>
          <w:u w:val="none"/>
        </w:rPr>
      </w:pPr>
      <w:r w:rsidRPr="00763BEE">
        <w:rPr>
          <w:rStyle w:val="Hyperlink"/>
          <w:rFonts w:ascii="Calibri" w:eastAsia="Times New Roman" w:hAnsi="Calibri" w:cs="Calibri"/>
          <w:color w:val="auto"/>
          <w:sz w:val="22"/>
          <w:szCs w:val="22"/>
          <w:u w:val="none"/>
        </w:rPr>
        <w:t>This document is for use in the Autumn 2017 validation of the revised TACO reporting criteria and combines the following definitions:</w:t>
      </w:r>
    </w:p>
    <w:p w14:paraId="0731A69A" w14:textId="77777777" w:rsidR="00111F68" w:rsidRPr="00763BEE" w:rsidRDefault="00111F68" w:rsidP="00111F68">
      <w:pPr>
        <w:pStyle w:val="Default"/>
        <w:numPr>
          <w:ilvl w:val="0"/>
          <w:numId w:val="17"/>
        </w:numPr>
        <w:spacing w:after="200"/>
        <w:rPr>
          <w:rStyle w:val="Hyperlink"/>
          <w:rFonts w:ascii="Calibri" w:eastAsia="Times New Roman" w:hAnsi="Calibri" w:cs="Calibri"/>
          <w:color w:val="auto"/>
          <w:sz w:val="22"/>
          <w:szCs w:val="22"/>
          <w:u w:val="none"/>
        </w:rPr>
      </w:pPr>
      <w:r w:rsidRPr="00763BEE">
        <w:rPr>
          <w:rStyle w:val="Hyperlink"/>
          <w:rFonts w:ascii="Calibri" w:eastAsia="Times New Roman" w:hAnsi="Calibri" w:cs="Calibri"/>
          <w:color w:val="auto"/>
          <w:sz w:val="22"/>
          <w:szCs w:val="22"/>
          <w:u w:val="none"/>
        </w:rPr>
        <w:t>TACO reporting criteria (draft)</w:t>
      </w:r>
    </w:p>
    <w:p w14:paraId="16D109CF" w14:textId="77777777" w:rsidR="00111F68" w:rsidRPr="00763BEE" w:rsidRDefault="00111F68" w:rsidP="00111F68">
      <w:pPr>
        <w:pStyle w:val="Default"/>
        <w:numPr>
          <w:ilvl w:val="0"/>
          <w:numId w:val="17"/>
        </w:numPr>
        <w:spacing w:after="200"/>
        <w:rPr>
          <w:rStyle w:val="Hyperlink"/>
          <w:rFonts w:ascii="Calibri" w:eastAsia="Times New Roman" w:hAnsi="Calibri" w:cs="Calibri"/>
          <w:color w:val="auto"/>
          <w:sz w:val="22"/>
          <w:szCs w:val="22"/>
          <w:u w:val="none"/>
        </w:rPr>
      </w:pPr>
      <w:r w:rsidRPr="00763BEE">
        <w:rPr>
          <w:rStyle w:val="Hyperlink"/>
          <w:rFonts w:ascii="Calibri" w:eastAsia="Times New Roman" w:hAnsi="Calibri" w:cs="Calibri"/>
          <w:color w:val="auto"/>
          <w:sz w:val="22"/>
          <w:szCs w:val="22"/>
          <w:u w:val="none"/>
        </w:rPr>
        <w:t>TRALI (ISBT, 2013)</w:t>
      </w:r>
    </w:p>
    <w:p w14:paraId="6C7215F3" w14:textId="77777777" w:rsidR="00111F68" w:rsidRPr="00763BEE" w:rsidRDefault="00111F68" w:rsidP="00111F68">
      <w:pPr>
        <w:pStyle w:val="Default"/>
        <w:numPr>
          <w:ilvl w:val="0"/>
          <w:numId w:val="17"/>
        </w:numPr>
        <w:spacing w:after="200"/>
        <w:rPr>
          <w:rStyle w:val="Hyperlink"/>
          <w:rFonts w:ascii="Calibri" w:eastAsia="Times New Roman" w:hAnsi="Calibri" w:cs="Calibri"/>
          <w:color w:val="auto"/>
          <w:sz w:val="22"/>
          <w:szCs w:val="22"/>
          <w:u w:val="none"/>
        </w:rPr>
      </w:pPr>
      <w:r w:rsidRPr="00763BEE">
        <w:rPr>
          <w:rStyle w:val="Hyperlink"/>
          <w:rFonts w:ascii="Calibri" w:eastAsia="Times New Roman" w:hAnsi="Calibri" w:cs="Calibri"/>
          <w:color w:val="auto"/>
          <w:sz w:val="22"/>
          <w:szCs w:val="22"/>
          <w:u w:val="none"/>
        </w:rPr>
        <w:t>TAD (ISBT, 2011/2013)</w:t>
      </w:r>
    </w:p>
    <w:p w14:paraId="4E97C1E6" w14:textId="634EBF29" w:rsidR="00AF314C" w:rsidRPr="00763BEE" w:rsidRDefault="007D04B7" w:rsidP="00111F68">
      <w:pPr>
        <w:pStyle w:val="Default"/>
        <w:numPr>
          <w:ilvl w:val="0"/>
          <w:numId w:val="17"/>
        </w:numPr>
        <w:spacing w:after="200"/>
        <w:rPr>
          <w:rStyle w:val="Hyperlink"/>
          <w:rFonts w:ascii="Calibri" w:eastAsia="Times New Roman" w:hAnsi="Calibri" w:cs="Calibri"/>
          <w:color w:val="auto"/>
          <w:sz w:val="22"/>
          <w:szCs w:val="22"/>
          <w:u w:val="none"/>
        </w:rPr>
      </w:pPr>
      <w:r>
        <w:rPr>
          <w:rStyle w:val="Hyperlink"/>
          <w:rFonts w:ascii="Calibri" w:eastAsia="Times New Roman" w:hAnsi="Calibri" w:cs="Calibri"/>
          <w:color w:val="auto"/>
          <w:sz w:val="22"/>
          <w:szCs w:val="22"/>
          <w:u w:val="none"/>
        </w:rPr>
        <w:t xml:space="preserve"> </w:t>
      </w:r>
      <w:r w:rsidR="00AF314C">
        <w:rPr>
          <w:rStyle w:val="Hyperlink"/>
          <w:rFonts w:ascii="Calibri" w:eastAsia="Times New Roman" w:hAnsi="Calibri" w:cs="Calibri"/>
          <w:color w:val="auto"/>
          <w:sz w:val="22"/>
          <w:szCs w:val="22"/>
          <w:u w:val="none"/>
        </w:rPr>
        <w:t>“Other”</w:t>
      </w:r>
    </w:p>
    <w:p w14:paraId="59CE7748" w14:textId="3000F26B" w:rsidR="00111F68" w:rsidRPr="00763BEE" w:rsidRDefault="00111F68" w:rsidP="005A6AF4">
      <w:pPr>
        <w:pStyle w:val="Default"/>
        <w:spacing w:after="200"/>
        <w:rPr>
          <w:rStyle w:val="Hyperlink"/>
          <w:rFonts w:ascii="Calibri" w:eastAsia="Times New Roman" w:hAnsi="Calibri" w:cs="Calibri"/>
          <w:color w:val="auto"/>
          <w:sz w:val="22"/>
          <w:szCs w:val="22"/>
          <w:u w:val="none"/>
        </w:rPr>
      </w:pPr>
    </w:p>
    <w:p w14:paraId="5BCE3019" w14:textId="60C2D9C0" w:rsidR="00436EF2" w:rsidRPr="00763BEE" w:rsidRDefault="00D31DE4" w:rsidP="005F231D">
      <w:pPr>
        <w:pStyle w:val="Default"/>
        <w:spacing w:after="240"/>
        <w:rPr>
          <w:rStyle w:val="Strong"/>
          <w:rFonts w:ascii="Calibri" w:eastAsia="Times New Roman" w:hAnsi="Calibri" w:cs="Calibri"/>
          <w:b w:val="0"/>
          <w:sz w:val="22"/>
          <w:szCs w:val="22"/>
        </w:rPr>
      </w:pPr>
      <w:r w:rsidRPr="00763BEE">
        <w:rPr>
          <w:rStyle w:val="Strong"/>
          <w:rFonts w:ascii="Calibri" w:eastAsia="Times New Roman" w:hAnsi="Calibri" w:cs="Calibri"/>
          <w:b w:val="0"/>
          <w:sz w:val="22"/>
          <w:szCs w:val="22"/>
        </w:rPr>
        <w:t xml:space="preserve">The proposed </w:t>
      </w:r>
      <w:r w:rsidR="00111F68" w:rsidRPr="00763BEE">
        <w:rPr>
          <w:rStyle w:val="Strong"/>
          <w:rFonts w:ascii="Calibri" w:eastAsia="Times New Roman" w:hAnsi="Calibri" w:cs="Calibri"/>
          <w:b w:val="0"/>
          <w:sz w:val="22"/>
          <w:szCs w:val="22"/>
        </w:rPr>
        <w:t xml:space="preserve">TACO </w:t>
      </w:r>
      <w:r w:rsidRPr="00763BEE">
        <w:rPr>
          <w:rStyle w:val="Strong"/>
          <w:rFonts w:ascii="Calibri" w:eastAsia="Times New Roman" w:hAnsi="Calibri" w:cs="Calibri"/>
          <w:b w:val="0"/>
          <w:sz w:val="22"/>
          <w:szCs w:val="22"/>
        </w:rPr>
        <w:t>surveillance reporting criteria represent a revision of the previous international TACO definition published by the International Society for Blood Transfusion Haemovigilance working party and International Haemovigilance Network:</w:t>
      </w:r>
    </w:p>
    <w:p w14:paraId="3225361F" w14:textId="104499CF" w:rsidR="00985F72" w:rsidRPr="00763BEE" w:rsidRDefault="00C01D1C" w:rsidP="005F231D">
      <w:pPr>
        <w:pStyle w:val="Default"/>
        <w:spacing w:after="200"/>
        <w:rPr>
          <w:rStyle w:val="Hyperlink"/>
          <w:rFonts w:ascii="Calibri" w:eastAsia="Times New Roman" w:hAnsi="Calibri" w:cs="Calibri"/>
          <w:sz w:val="22"/>
          <w:szCs w:val="22"/>
        </w:rPr>
      </w:pPr>
      <w:hyperlink r:id="rId12" w:history="1">
        <w:r w:rsidR="00985F72" w:rsidRPr="00763BEE">
          <w:rPr>
            <w:rStyle w:val="Hyperlink"/>
            <w:rFonts w:ascii="Calibri" w:eastAsia="Times New Roman" w:hAnsi="Calibri" w:cs="Calibri"/>
            <w:sz w:val="22"/>
            <w:szCs w:val="22"/>
          </w:rPr>
          <w:t>http://www.isbtweb.org/fileadmin/user_upload/Proposed_definitions_2011_surveillance_non_infectious_adverse_reactions_haemovigilance_incl_TRALI_correction_2013.pdf</w:t>
        </w:r>
      </w:hyperlink>
    </w:p>
    <w:p w14:paraId="3657F3F9" w14:textId="77777777" w:rsidR="00985F72" w:rsidRPr="00763BEE" w:rsidRDefault="00985F72" w:rsidP="005F231D">
      <w:pPr>
        <w:pStyle w:val="Default"/>
        <w:spacing w:after="200"/>
        <w:rPr>
          <w:rFonts w:ascii="Calibri" w:hAnsi="Calibri" w:cs="Calibri"/>
          <w:sz w:val="22"/>
          <w:szCs w:val="22"/>
        </w:rPr>
      </w:pPr>
    </w:p>
    <w:p w14:paraId="63EFD6FC" w14:textId="77777777" w:rsidR="00985F72" w:rsidRPr="00763BEE" w:rsidRDefault="00985F72" w:rsidP="005F231D">
      <w:pPr>
        <w:pStyle w:val="Default"/>
        <w:jc w:val="center"/>
        <w:rPr>
          <w:rStyle w:val="Strong"/>
          <w:rFonts w:ascii="Calibri" w:eastAsia="Times New Roman" w:hAnsi="Calibri" w:cs="Calibri"/>
          <w:sz w:val="28"/>
          <w:szCs w:val="28"/>
        </w:rPr>
      </w:pPr>
    </w:p>
    <w:p w14:paraId="101826F8" w14:textId="77777777" w:rsidR="00436EF2" w:rsidRPr="00763BEE" w:rsidRDefault="00436EF2" w:rsidP="005F231D">
      <w:pPr>
        <w:pStyle w:val="Default"/>
        <w:jc w:val="center"/>
        <w:rPr>
          <w:rStyle w:val="Strong"/>
          <w:rFonts w:ascii="Calibri" w:eastAsia="Times New Roman" w:hAnsi="Calibri" w:cs="Calibri"/>
          <w:sz w:val="28"/>
          <w:szCs w:val="28"/>
        </w:rPr>
      </w:pPr>
    </w:p>
    <w:p w14:paraId="5E3C7575" w14:textId="321283B3" w:rsidR="00B4503A" w:rsidRPr="00763BEE" w:rsidRDefault="00985F72" w:rsidP="00763BEE">
      <w:pPr>
        <w:spacing w:after="0" w:line="240" w:lineRule="auto"/>
        <w:rPr>
          <w:rFonts w:cs="Calibri"/>
        </w:rPr>
      </w:pPr>
      <w:r w:rsidRPr="00763BEE">
        <w:rPr>
          <w:rStyle w:val="Strong"/>
          <w:rFonts w:eastAsia="Times New Roman" w:cs="Calibri"/>
          <w:sz w:val="28"/>
          <w:szCs w:val="28"/>
        </w:rPr>
        <w:br w:type="page"/>
      </w:r>
    </w:p>
    <w:p w14:paraId="789DD146" w14:textId="77777777" w:rsidR="00915D51" w:rsidRPr="00763BEE" w:rsidRDefault="00915D51" w:rsidP="005F231D">
      <w:pPr>
        <w:pStyle w:val="Default"/>
        <w:rPr>
          <w:rStyle w:val="Strong"/>
          <w:rFonts w:ascii="Calibri" w:eastAsia="Times New Roman" w:hAnsi="Calibri" w:cs="Calibri"/>
          <w:sz w:val="28"/>
          <w:szCs w:val="28"/>
        </w:rPr>
      </w:pPr>
    </w:p>
    <w:p w14:paraId="636BF086" w14:textId="54D42EA7" w:rsidR="00F42F88" w:rsidRPr="00763BEE" w:rsidRDefault="00985F72" w:rsidP="00AF314C">
      <w:pPr>
        <w:pStyle w:val="ListParagraph"/>
        <w:numPr>
          <w:ilvl w:val="0"/>
          <w:numId w:val="20"/>
        </w:numPr>
        <w:rPr>
          <w:rStyle w:val="Strong"/>
          <w:rFonts w:eastAsia="Times New Roman" w:cs="Calibri"/>
          <w:sz w:val="28"/>
          <w:szCs w:val="28"/>
        </w:rPr>
      </w:pPr>
      <w:r w:rsidRPr="00763BEE">
        <w:rPr>
          <w:rStyle w:val="Strong"/>
          <w:rFonts w:eastAsia="Times New Roman" w:cs="Calibri"/>
          <w:sz w:val="28"/>
          <w:szCs w:val="28"/>
        </w:rPr>
        <w:t>Transfusion-associated circulatory overload (TACO)</w:t>
      </w:r>
    </w:p>
    <w:p w14:paraId="7A9A7B92" w14:textId="0B532766" w:rsidR="00DE1C5E" w:rsidRPr="00763BEE" w:rsidRDefault="000F466F" w:rsidP="005F231D">
      <w:pPr>
        <w:spacing w:after="0" w:line="240" w:lineRule="auto"/>
        <w:rPr>
          <w:rStyle w:val="Strong"/>
          <w:rFonts w:eastAsia="Times New Roman" w:cs="Calibri"/>
          <w:bCs w:val="0"/>
        </w:rPr>
      </w:pPr>
      <w:r w:rsidRPr="00763BEE">
        <w:rPr>
          <w:rFonts w:cs="Calibri"/>
          <w:b/>
          <w:sz w:val="28"/>
          <w:szCs w:val="28"/>
        </w:rPr>
        <w:t>Proposed standard reporting criteria (2017)</w:t>
      </w:r>
    </w:p>
    <w:p w14:paraId="60076795" w14:textId="77777777" w:rsidR="00B21B3E" w:rsidRDefault="00B21B3E" w:rsidP="005F231D">
      <w:pPr>
        <w:pStyle w:val="Default"/>
        <w:rPr>
          <w:rStyle w:val="Strong"/>
          <w:rFonts w:ascii="Calibri" w:eastAsia="Times New Roman" w:hAnsi="Calibri" w:cs="Calibri"/>
          <w:sz w:val="22"/>
          <w:szCs w:val="22"/>
        </w:rPr>
      </w:pPr>
    </w:p>
    <w:p w14:paraId="171DB153" w14:textId="77777777" w:rsidR="00B21B3E" w:rsidRDefault="00B21B3E" w:rsidP="005F231D">
      <w:pPr>
        <w:pStyle w:val="Default"/>
        <w:rPr>
          <w:rStyle w:val="Strong"/>
          <w:rFonts w:ascii="Calibri" w:eastAsia="Times New Roman" w:hAnsi="Calibri" w:cs="Calibri"/>
          <w:sz w:val="22"/>
          <w:szCs w:val="22"/>
        </w:rPr>
      </w:pPr>
    </w:p>
    <w:p w14:paraId="138391AB" w14:textId="65B4465D" w:rsidR="00216AC7" w:rsidRPr="00763BEE" w:rsidRDefault="00AF567C" w:rsidP="005F231D">
      <w:pPr>
        <w:pStyle w:val="Default"/>
        <w:rPr>
          <w:rStyle w:val="Strong"/>
          <w:rFonts w:ascii="Calibri" w:eastAsia="Times New Roman" w:hAnsi="Calibri" w:cs="Calibri"/>
          <w:sz w:val="22"/>
          <w:szCs w:val="22"/>
        </w:rPr>
      </w:pPr>
      <w:r w:rsidRPr="00763BEE">
        <w:rPr>
          <w:rStyle w:val="Strong"/>
          <w:rFonts w:ascii="Calibri" w:eastAsia="Times New Roman" w:hAnsi="Calibri" w:cs="Calibri"/>
          <w:sz w:val="22"/>
          <w:szCs w:val="22"/>
        </w:rPr>
        <w:t>Context</w:t>
      </w:r>
    </w:p>
    <w:p w14:paraId="397809E3" w14:textId="77777777" w:rsidR="00216AC7" w:rsidRPr="00763BEE" w:rsidRDefault="00216AC7" w:rsidP="005F231D">
      <w:pPr>
        <w:pStyle w:val="Default"/>
        <w:rPr>
          <w:rStyle w:val="Strong"/>
          <w:rFonts w:ascii="Calibri" w:eastAsia="Times New Roman" w:hAnsi="Calibri" w:cs="Calibri"/>
          <w:sz w:val="22"/>
          <w:szCs w:val="22"/>
        </w:rPr>
      </w:pPr>
    </w:p>
    <w:p w14:paraId="4D202F38" w14:textId="4A9888F2" w:rsidR="00395819" w:rsidRPr="00763BEE" w:rsidRDefault="00216AC7" w:rsidP="005F231D">
      <w:pPr>
        <w:numPr>
          <w:ilvl w:val="0"/>
          <w:numId w:val="8"/>
        </w:numPr>
        <w:spacing w:line="240" w:lineRule="auto"/>
        <w:rPr>
          <w:rFonts w:cs="Calibri"/>
        </w:rPr>
      </w:pPr>
      <w:r w:rsidRPr="00763BEE">
        <w:rPr>
          <w:rFonts w:cs="Calibri"/>
        </w:rPr>
        <w:t xml:space="preserve">The term </w:t>
      </w:r>
      <w:r w:rsidR="00DB0970" w:rsidRPr="00763BEE">
        <w:rPr>
          <w:rFonts w:cs="Calibri"/>
        </w:rPr>
        <w:t xml:space="preserve">transfusion-associated circulatory overload or </w:t>
      </w:r>
      <w:r w:rsidRPr="00763BEE">
        <w:rPr>
          <w:rFonts w:cs="Calibri"/>
        </w:rPr>
        <w:t xml:space="preserve">TACO indicates </w:t>
      </w:r>
      <w:r w:rsidR="00DB0970" w:rsidRPr="00763BEE">
        <w:rPr>
          <w:rFonts w:cs="Calibri"/>
        </w:rPr>
        <w:t>that there is a</w:t>
      </w:r>
      <w:r w:rsidRPr="00763BEE">
        <w:rPr>
          <w:rFonts w:cs="Calibri"/>
        </w:rPr>
        <w:t xml:space="preserve"> </w:t>
      </w:r>
      <w:r w:rsidRPr="00763BEE">
        <w:rPr>
          <w:rFonts w:cs="Calibri"/>
          <w:i/>
        </w:rPr>
        <w:t>temporal</w:t>
      </w:r>
      <w:r w:rsidRPr="00763BEE">
        <w:rPr>
          <w:rFonts w:cs="Calibri"/>
        </w:rPr>
        <w:t xml:space="preserve"> association with blood transfusion. </w:t>
      </w:r>
      <w:r w:rsidR="00DB0970" w:rsidRPr="00763BEE">
        <w:rPr>
          <w:rFonts w:cs="Calibri"/>
        </w:rPr>
        <w:t xml:space="preserve">The imputability, the </w:t>
      </w:r>
      <w:r w:rsidR="00DB0970" w:rsidRPr="00763BEE">
        <w:rPr>
          <w:rFonts w:cs="Calibri"/>
          <w:i/>
        </w:rPr>
        <w:t>causal</w:t>
      </w:r>
      <w:r w:rsidR="00DB0970" w:rsidRPr="00763BEE">
        <w:rPr>
          <w:rFonts w:cs="Calibri"/>
        </w:rPr>
        <w:t xml:space="preserve"> contribution of the transfusion, is assessed separately</w:t>
      </w:r>
      <w:r w:rsidR="004E2CE5" w:rsidRPr="00763BEE">
        <w:rPr>
          <w:rFonts w:cs="Calibri"/>
        </w:rPr>
        <w:t>.</w:t>
      </w:r>
    </w:p>
    <w:p w14:paraId="66C04471" w14:textId="4FFC4A5B" w:rsidR="008D2332" w:rsidRPr="00763BEE" w:rsidRDefault="008D2332" w:rsidP="005F231D">
      <w:pPr>
        <w:numPr>
          <w:ilvl w:val="0"/>
          <w:numId w:val="8"/>
        </w:numPr>
        <w:spacing w:line="240" w:lineRule="auto"/>
        <w:rPr>
          <w:rFonts w:cs="Calibri"/>
        </w:rPr>
      </w:pPr>
      <w:r w:rsidRPr="00763BEE">
        <w:rPr>
          <w:rFonts w:cs="Calibri"/>
        </w:rPr>
        <w:t>Certain clinical conditions, e.g. cardiovascular, renal, pulmonary diseases and severe anemia, are risk factors for TACO.</w:t>
      </w:r>
      <w:r w:rsidR="00BC5F76" w:rsidRPr="00763BEE">
        <w:rPr>
          <w:rFonts w:cs="Calibri"/>
        </w:rPr>
        <w:t xml:space="preserve"> These conditions do not </w:t>
      </w:r>
      <w:r w:rsidR="00AF567C" w:rsidRPr="00763BEE">
        <w:rPr>
          <w:rFonts w:cs="Calibri"/>
        </w:rPr>
        <w:t>pre</w:t>
      </w:r>
      <w:r w:rsidR="00BC5F76" w:rsidRPr="00763BEE">
        <w:rPr>
          <w:rFonts w:cs="Calibri"/>
        </w:rPr>
        <w:t>clude a diagnosis of TACO.</w:t>
      </w:r>
    </w:p>
    <w:p w14:paraId="790E9FBA" w14:textId="5899303C" w:rsidR="008D2332" w:rsidRPr="00763BEE" w:rsidRDefault="008D2332" w:rsidP="005F231D">
      <w:pPr>
        <w:numPr>
          <w:ilvl w:val="0"/>
          <w:numId w:val="8"/>
        </w:numPr>
        <w:spacing w:line="240" w:lineRule="auto"/>
        <w:rPr>
          <w:rFonts w:cs="Calibri"/>
        </w:rPr>
      </w:pPr>
      <w:r w:rsidRPr="00763BEE">
        <w:rPr>
          <w:rFonts w:cs="Calibri"/>
        </w:rPr>
        <w:t xml:space="preserve">Other fluids given before or around the time of the transfusion contribute to and can exacerbate the fluid challenges posed by transfusion. </w:t>
      </w:r>
      <w:r w:rsidR="00B71447" w:rsidRPr="00763BEE">
        <w:rPr>
          <w:rFonts w:cs="Calibri"/>
          <w:lang w:val="en-US"/>
        </w:rPr>
        <w:t xml:space="preserve">The volume of transfused products may constitute only </w:t>
      </w:r>
      <w:r w:rsidR="005F231D" w:rsidRPr="00763BEE">
        <w:rPr>
          <w:rFonts w:cs="Calibri"/>
          <w:lang w:val="en-US"/>
        </w:rPr>
        <w:t xml:space="preserve">a </w:t>
      </w:r>
      <w:r w:rsidR="00B71447" w:rsidRPr="00763BEE">
        <w:rPr>
          <w:rFonts w:cs="Calibri"/>
          <w:lang w:val="en-US"/>
        </w:rPr>
        <w:t xml:space="preserve">percentage of fluids administered overall.  </w:t>
      </w:r>
    </w:p>
    <w:p w14:paraId="4112AC5D" w14:textId="5F4C8C64" w:rsidR="00395819" w:rsidRPr="00763BEE" w:rsidRDefault="00DB0970" w:rsidP="005F231D">
      <w:pPr>
        <w:numPr>
          <w:ilvl w:val="0"/>
          <w:numId w:val="8"/>
        </w:numPr>
        <w:spacing w:line="240" w:lineRule="auto"/>
        <w:rPr>
          <w:rFonts w:cs="Calibri"/>
        </w:rPr>
      </w:pPr>
      <w:r w:rsidRPr="00763BEE">
        <w:rPr>
          <w:rFonts w:cs="Calibri"/>
        </w:rPr>
        <w:t>P</w:t>
      </w:r>
      <w:r w:rsidR="00216AC7" w:rsidRPr="00763BEE">
        <w:rPr>
          <w:rFonts w:cs="Calibri"/>
        </w:rPr>
        <w:t xml:space="preserve">atients </w:t>
      </w:r>
      <w:r w:rsidRPr="00763BEE">
        <w:rPr>
          <w:rFonts w:cs="Calibri"/>
        </w:rPr>
        <w:t xml:space="preserve">with TACO </w:t>
      </w:r>
      <w:r w:rsidR="00216AC7" w:rsidRPr="00763BEE">
        <w:rPr>
          <w:rFonts w:cs="Calibri"/>
        </w:rPr>
        <w:t>cardinally manifest respiratory system-related signs and symptoms such as tachypnea, dyspnea, and decreased oxygen saturations, typically occurring during or w</w:t>
      </w:r>
      <w:r w:rsidR="00F42F88" w:rsidRPr="00763BEE">
        <w:rPr>
          <w:rFonts w:cs="Calibri"/>
        </w:rPr>
        <w:t>ithin 12 hours of transfusion.</w:t>
      </w:r>
    </w:p>
    <w:p w14:paraId="0B804C59" w14:textId="64CDDAB9" w:rsidR="007875EF" w:rsidRPr="00763BEE" w:rsidRDefault="00216AC7" w:rsidP="005F231D">
      <w:pPr>
        <w:numPr>
          <w:ilvl w:val="0"/>
          <w:numId w:val="8"/>
        </w:numPr>
        <w:spacing w:line="240" w:lineRule="auto"/>
        <w:rPr>
          <w:rFonts w:cs="Calibri"/>
        </w:rPr>
      </w:pPr>
      <w:r w:rsidRPr="00763BEE">
        <w:rPr>
          <w:rFonts w:cs="Calibri"/>
        </w:rPr>
        <w:t xml:space="preserve">Close monitoring </w:t>
      </w:r>
      <w:r w:rsidR="007A126E" w:rsidRPr="00763BEE">
        <w:rPr>
          <w:rFonts w:cs="Calibri"/>
        </w:rPr>
        <w:t xml:space="preserve">of the patient and the vital signs </w:t>
      </w:r>
      <w:r w:rsidRPr="00763BEE">
        <w:rPr>
          <w:rFonts w:cs="Calibri"/>
        </w:rPr>
        <w:t xml:space="preserve">during </w:t>
      </w:r>
      <w:r w:rsidR="00395819" w:rsidRPr="00763BEE">
        <w:rPr>
          <w:rFonts w:cs="Calibri"/>
        </w:rPr>
        <w:t>transfusion</w:t>
      </w:r>
      <w:r w:rsidRPr="00763BEE">
        <w:rPr>
          <w:rFonts w:cs="Calibri"/>
        </w:rPr>
        <w:t xml:space="preserve"> </w:t>
      </w:r>
      <w:r w:rsidR="00395819" w:rsidRPr="00763BEE">
        <w:rPr>
          <w:rFonts w:cs="Calibri"/>
        </w:rPr>
        <w:t xml:space="preserve">are </w:t>
      </w:r>
      <w:r w:rsidR="005F02E1" w:rsidRPr="00763BEE">
        <w:rPr>
          <w:rFonts w:cs="Calibri"/>
        </w:rPr>
        <w:t>important</w:t>
      </w:r>
      <w:r w:rsidR="00395819" w:rsidRPr="00763BEE">
        <w:rPr>
          <w:rFonts w:cs="Calibri"/>
        </w:rPr>
        <w:t xml:space="preserve">; </w:t>
      </w:r>
      <w:r w:rsidR="00A24DD2" w:rsidRPr="00763BEE">
        <w:rPr>
          <w:rFonts w:cs="Calibri"/>
        </w:rPr>
        <w:t xml:space="preserve">review of vital sign values/net fluid balance for </w:t>
      </w:r>
      <w:r w:rsidR="007875EF" w:rsidRPr="00763BEE">
        <w:rPr>
          <w:rFonts w:cs="Calibri"/>
        </w:rPr>
        <w:t>at least</w:t>
      </w:r>
      <w:r w:rsidR="00A24DD2" w:rsidRPr="00763BEE">
        <w:rPr>
          <w:rFonts w:cs="Calibri"/>
        </w:rPr>
        <w:t xml:space="preserve"> 24 hours prior to the transfusion of the unit identified with the reaction </w:t>
      </w:r>
      <w:r w:rsidR="007875EF" w:rsidRPr="00763BEE">
        <w:rPr>
          <w:rFonts w:cs="Calibri"/>
        </w:rPr>
        <w:t>may be of value</w:t>
      </w:r>
      <w:r w:rsidR="00A24DD2" w:rsidRPr="00763BEE">
        <w:rPr>
          <w:rFonts w:cs="Calibri"/>
        </w:rPr>
        <w:t>.</w:t>
      </w:r>
    </w:p>
    <w:p w14:paraId="046B4720" w14:textId="5E6B2CA0" w:rsidR="00DC0711" w:rsidRPr="00763BEE" w:rsidRDefault="00B53E7D" w:rsidP="005F231D">
      <w:pPr>
        <w:numPr>
          <w:ilvl w:val="0"/>
          <w:numId w:val="8"/>
        </w:numPr>
        <w:spacing w:line="240" w:lineRule="auto"/>
        <w:rPr>
          <w:rFonts w:cs="Calibri"/>
        </w:rPr>
      </w:pPr>
      <w:r w:rsidRPr="00763BEE">
        <w:rPr>
          <w:rFonts w:cs="Calibri"/>
        </w:rPr>
        <w:t>An increase of blood pressure and tachycardia may be warning signs; appropriate clinical management may prevent development of TACO.</w:t>
      </w:r>
      <w:r w:rsidR="00DC0711" w:rsidRPr="00763BEE">
        <w:rPr>
          <w:rFonts w:cs="Calibri"/>
        </w:rPr>
        <w:t xml:space="preserve"> </w:t>
      </w:r>
    </w:p>
    <w:p w14:paraId="22945A36" w14:textId="61059B96" w:rsidR="00DC0711" w:rsidRPr="00763BEE" w:rsidRDefault="00DC0711" w:rsidP="005F231D">
      <w:pPr>
        <w:numPr>
          <w:ilvl w:val="0"/>
          <w:numId w:val="8"/>
        </w:numPr>
        <w:spacing w:line="240" w:lineRule="auto"/>
        <w:rPr>
          <w:rStyle w:val="Strong"/>
          <w:rFonts w:eastAsia="Times New Roman" w:cs="Calibri"/>
          <w:b w:val="0"/>
        </w:rPr>
      </w:pPr>
      <w:r w:rsidRPr="00763BEE">
        <w:rPr>
          <w:rFonts w:cs="Calibri"/>
        </w:rPr>
        <w:t xml:space="preserve">Radiographic chest imaging of adequate quality at the time of the reaction is an important means of gaining diagnostic </w:t>
      </w:r>
      <w:r w:rsidR="003F7D4F" w:rsidRPr="00763BEE">
        <w:rPr>
          <w:rFonts w:cs="Calibri"/>
        </w:rPr>
        <w:t xml:space="preserve">information </w:t>
      </w:r>
      <w:r w:rsidRPr="00763BEE">
        <w:rPr>
          <w:rFonts w:cs="Calibri"/>
        </w:rPr>
        <w:t>and should be considered. However, cases without chest imaging may be reported as TACO provid</w:t>
      </w:r>
      <w:r w:rsidR="00F42F88" w:rsidRPr="00763BEE">
        <w:rPr>
          <w:rFonts w:cs="Calibri"/>
        </w:rPr>
        <w:t>ing other features are present.</w:t>
      </w:r>
    </w:p>
    <w:p w14:paraId="456D2243" w14:textId="5D067EC6" w:rsidR="00BC5F76" w:rsidRPr="00763BEE" w:rsidRDefault="005356A1" w:rsidP="005F231D">
      <w:pPr>
        <w:pStyle w:val="CommentText"/>
        <w:numPr>
          <w:ilvl w:val="0"/>
          <w:numId w:val="8"/>
        </w:numPr>
        <w:spacing w:line="240" w:lineRule="auto"/>
        <w:rPr>
          <w:rFonts w:cs="Calibri"/>
          <w:b/>
          <w:bCs/>
        </w:rPr>
      </w:pPr>
      <w:r w:rsidRPr="00763BEE">
        <w:rPr>
          <w:rFonts w:cs="Calibri"/>
          <w:sz w:val="22"/>
          <w:szCs w:val="22"/>
          <w:lang w:val="nl-NL"/>
        </w:rPr>
        <w:t xml:space="preserve">Patients with TACO </w:t>
      </w:r>
      <w:r w:rsidR="002A00A4" w:rsidRPr="00763BEE">
        <w:rPr>
          <w:rFonts w:cs="Calibri"/>
          <w:sz w:val="22"/>
          <w:szCs w:val="22"/>
          <w:lang w:val="nl-NL"/>
        </w:rPr>
        <w:t>may experience an increase in body temperature</w:t>
      </w:r>
      <w:r w:rsidR="00763BEE">
        <w:rPr>
          <w:rFonts w:cs="Calibri"/>
          <w:sz w:val="22"/>
          <w:szCs w:val="22"/>
          <w:lang w:val="nl-NL"/>
        </w:rPr>
        <w:t xml:space="preserve">. </w:t>
      </w:r>
      <w:r w:rsidR="00D22552" w:rsidRPr="00763BEE">
        <w:rPr>
          <w:rFonts w:cs="Calibri"/>
          <w:sz w:val="22"/>
          <w:szCs w:val="22"/>
          <w:lang w:val="nl-NL"/>
        </w:rPr>
        <w:t xml:space="preserve">An increase of body temperature should be investigated according to protocol and clinical judgement. </w:t>
      </w:r>
      <w:r w:rsidR="00D66E58" w:rsidRPr="00763BEE">
        <w:rPr>
          <w:rFonts w:cs="Calibri"/>
          <w:sz w:val="22"/>
          <w:szCs w:val="22"/>
          <w:lang w:val="en-GB"/>
        </w:rPr>
        <w:t>Increased body temperature does not exclude TACO if the reporting criteria are met</w:t>
      </w:r>
      <w:r w:rsidR="005B6D65" w:rsidRPr="00763BEE">
        <w:rPr>
          <w:rFonts w:cs="Calibri"/>
          <w:sz w:val="22"/>
          <w:szCs w:val="22"/>
          <w:lang w:val="en-GB"/>
        </w:rPr>
        <w:t>.</w:t>
      </w:r>
    </w:p>
    <w:p w14:paraId="5F80DBC7" w14:textId="072F61A0" w:rsidR="00D22552" w:rsidRPr="00763BEE" w:rsidRDefault="00D22552" w:rsidP="005F231D">
      <w:pPr>
        <w:pStyle w:val="CommentText"/>
        <w:numPr>
          <w:ilvl w:val="0"/>
          <w:numId w:val="8"/>
        </w:numPr>
        <w:spacing w:after="0" w:line="240" w:lineRule="auto"/>
        <w:rPr>
          <w:rFonts w:cs="Calibri"/>
          <w:sz w:val="22"/>
          <w:szCs w:val="22"/>
          <w:lang w:val="nl-NL"/>
        </w:rPr>
      </w:pPr>
      <w:r w:rsidRPr="00763BEE">
        <w:rPr>
          <w:rFonts w:cs="Calibri"/>
          <w:sz w:val="22"/>
          <w:szCs w:val="22"/>
          <w:lang w:val="nl-NL"/>
        </w:rPr>
        <w:t>Patients receiving ventilatory support: I</w:t>
      </w:r>
      <w:r w:rsidRPr="00763BEE">
        <w:rPr>
          <w:rFonts w:cs="Calibri"/>
          <w:bCs/>
          <w:sz w:val="22"/>
          <w:szCs w:val="22"/>
          <w:lang w:val="nl-NL"/>
        </w:rPr>
        <w:t>n ICU patients who may be receiving varying degrees of PEEP (positive end expiratory pressure) ventilatory support, pulmonary oedema may be difficult to diagnose at higher PEEP settings with TACO becoming apparent only if PEEP settings are reduced or ventilation is discontinued.</w:t>
      </w:r>
    </w:p>
    <w:p w14:paraId="6D7C59B3" w14:textId="77777777" w:rsidR="00D22552" w:rsidRPr="00763BEE" w:rsidRDefault="00D22552" w:rsidP="005F231D">
      <w:pPr>
        <w:spacing w:line="240" w:lineRule="auto"/>
        <w:rPr>
          <w:rFonts w:cs="Calibri"/>
          <w:b/>
        </w:rPr>
      </w:pPr>
    </w:p>
    <w:p w14:paraId="568A2442" w14:textId="77777777" w:rsidR="00E33330" w:rsidRPr="00763BEE" w:rsidRDefault="00F337BB" w:rsidP="005F231D">
      <w:pPr>
        <w:spacing w:line="240" w:lineRule="auto"/>
        <w:rPr>
          <w:rFonts w:cs="Calibri"/>
          <w:b/>
        </w:rPr>
      </w:pPr>
      <w:r w:rsidRPr="00763BEE">
        <w:rPr>
          <w:rFonts w:cs="Calibri"/>
          <w:b/>
        </w:rPr>
        <w:t>TACO reporting criteria</w:t>
      </w:r>
      <w:r w:rsidR="003F7D4F" w:rsidRPr="00763BEE">
        <w:rPr>
          <w:rFonts w:cs="Calibri"/>
          <w:b/>
        </w:rPr>
        <w:t>*</w:t>
      </w:r>
    </w:p>
    <w:p w14:paraId="27B16D61" w14:textId="1A7B4EAA" w:rsidR="00087898" w:rsidRPr="00763BEE" w:rsidRDefault="00694FAC" w:rsidP="005F231D">
      <w:pPr>
        <w:spacing w:after="0" w:line="240" w:lineRule="auto"/>
        <w:rPr>
          <w:rFonts w:cs="Calibri"/>
        </w:rPr>
      </w:pPr>
      <w:r w:rsidRPr="00763BEE">
        <w:rPr>
          <w:rFonts w:cs="Calibri"/>
        </w:rPr>
        <w:t xml:space="preserve">Patients classified with a </w:t>
      </w:r>
      <w:r w:rsidRPr="00763BEE">
        <w:rPr>
          <w:rFonts w:cs="Calibri"/>
          <w:b/>
        </w:rPr>
        <w:t xml:space="preserve">TACO </w:t>
      </w:r>
      <w:r w:rsidR="005F02E1" w:rsidRPr="00763BEE">
        <w:rPr>
          <w:rFonts w:cs="Calibri"/>
          <w:b/>
        </w:rPr>
        <w:t>(</w:t>
      </w:r>
      <w:r w:rsidRPr="00763BEE">
        <w:rPr>
          <w:rFonts w:cs="Calibri"/>
          <w:b/>
        </w:rPr>
        <w:t>surveillance diagnosis</w:t>
      </w:r>
      <w:r w:rsidR="005F02E1" w:rsidRPr="00763BEE">
        <w:rPr>
          <w:rFonts w:cs="Calibri"/>
          <w:b/>
        </w:rPr>
        <w:t>)</w:t>
      </w:r>
      <w:r w:rsidRPr="00763BEE">
        <w:rPr>
          <w:rFonts w:cs="Calibri"/>
          <w:b/>
        </w:rPr>
        <w:t xml:space="preserve"> </w:t>
      </w:r>
      <w:r w:rsidRPr="00763BEE">
        <w:rPr>
          <w:rFonts w:cs="Calibri"/>
        </w:rPr>
        <w:t>should</w:t>
      </w:r>
      <w:r w:rsidR="00E70FF3" w:rsidRPr="00763BEE">
        <w:rPr>
          <w:rFonts w:cs="Calibri"/>
        </w:rPr>
        <w:t xml:space="preserve"> </w:t>
      </w:r>
      <w:r w:rsidR="00B705D1" w:rsidRPr="00763BEE">
        <w:rPr>
          <w:rFonts w:cs="Calibri"/>
        </w:rPr>
        <w:t xml:space="preserve">have acute or worsening respiratory compromise </w:t>
      </w:r>
      <w:r w:rsidR="002B5D4B" w:rsidRPr="00763BEE">
        <w:rPr>
          <w:rFonts w:cs="Calibri"/>
        </w:rPr>
        <w:t xml:space="preserve">during or up to 12 hours after transfusion </w:t>
      </w:r>
      <w:r w:rsidR="00B705D1" w:rsidRPr="00763BEE">
        <w:rPr>
          <w:rFonts w:cs="Calibri"/>
        </w:rPr>
        <w:t xml:space="preserve">and should </w:t>
      </w:r>
      <w:r w:rsidR="00E70FF3" w:rsidRPr="00763BEE">
        <w:rPr>
          <w:rFonts w:cs="Calibri"/>
        </w:rPr>
        <w:t>exhibit</w:t>
      </w:r>
      <w:r w:rsidR="00B705D1" w:rsidRPr="00763BEE">
        <w:rPr>
          <w:rFonts w:cs="Calibri"/>
        </w:rPr>
        <w:t xml:space="preserve"> two or more of the criteria below:</w:t>
      </w:r>
      <w:r w:rsidR="00F12E1D" w:rsidRPr="00763BEE">
        <w:rPr>
          <w:rFonts w:cs="Calibri"/>
        </w:rPr>
        <w:t xml:space="preserve"> </w:t>
      </w:r>
      <w:r w:rsidR="00931B6F" w:rsidRPr="00763BEE" w:rsidDel="00931B6F">
        <w:rPr>
          <w:rFonts w:cs="Calibri"/>
        </w:rPr>
        <w:t xml:space="preserve"> </w:t>
      </w:r>
    </w:p>
    <w:p w14:paraId="317AEDB7" w14:textId="28B22351" w:rsidR="00E70FF3" w:rsidRPr="00763BEE" w:rsidRDefault="00F337BB" w:rsidP="005F231D">
      <w:pPr>
        <w:pStyle w:val="ListParagraph"/>
        <w:numPr>
          <w:ilvl w:val="0"/>
          <w:numId w:val="4"/>
        </w:numPr>
        <w:spacing w:after="120" w:line="240" w:lineRule="auto"/>
        <w:ind w:hanging="357"/>
        <w:rPr>
          <w:rStyle w:val="Strong"/>
          <w:rFonts w:eastAsia="Times New Roman" w:cs="Calibri"/>
          <w:b w:val="0"/>
          <w:bCs w:val="0"/>
        </w:rPr>
      </w:pPr>
      <w:r w:rsidRPr="00763BEE">
        <w:rPr>
          <w:rStyle w:val="Strong"/>
          <w:rFonts w:eastAsia="Times New Roman" w:cs="Calibri"/>
          <w:b w:val="0"/>
        </w:rPr>
        <w:t>Evidence of acute or worsening pulmonary oede</w:t>
      </w:r>
      <w:r w:rsidR="00E33330" w:rsidRPr="00763BEE">
        <w:rPr>
          <w:rStyle w:val="Strong"/>
          <w:rFonts w:eastAsia="Times New Roman" w:cs="Calibri"/>
          <w:b w:val="0"/>
        </w:rPr>
        <w:t>ma based on</w:t>
      </w:r>
      <w:r w:rsidR="00AE355A" w:rsidRPr="00763BEE">
        <w:rPr>
          <w:rStyle w:val="Strong"/>
          <w:rFonts w:eastAsia="Times New Roman" w:cs="Calibri"/>
          <w:b w:val="0"/>
        </w:rPr>
        <w:t>:</w:t>
      </w:r>
      <w:r w:rsidRPr="00763BEE">
        <w:rPr>
          <w:rStyle w:val="Strong"/>
          <w:rFonts w:eastAsia="Times New Roman" w:cs="Calibri"/>
          <w:b w:val="0"/>
        </w:rPr>
        <w:t xml:space="preserve"> </w:t>
      </w:r>
    </w:p>
    <w:p w14:paraId="53FE5C52" w14:textId="493AFACE" w:rsidR="00E70FF3" w:rsidRPr="00763BEE" w:rsidRDefault="00F337BB" w:rsidP="005F231D">
      <w:pPr>
        <w:numPr>
          <w:ilvl w:val="1"/>
          <w:numId w:val="4"/>
        </w:numPr>
        <w:spacing w:after="120" w:line="240" w:lineRule="auto"/>
        <w:ind w:hanging="357"/>
        <w:rPr>
          <w:rStyle w:val="Strong"/>
          <w:rFonts w:eastAsia="Times New Roman" w:cs="Calibri"/>
          <w:b w:val="0"/>
          <w:bCs w:val="0"/>
        </w:rPr>
      </w:pPr>
      <w:r w:rsidRPr="00763BEE">
        <w:rPr>
          <w:rStyle w:val="Strong"/>
          <w:rFonts w:eastAsia="Times New Roman" w:cs="Calibri"/>
          <w:b w:val="0"/>
        </w:rPr>
        <w:t>clinical physical examination (</w:t>
      </w:r>
      <w:r w:rsidR="001424B3" w:rsidRPr="00763BEE">
        <w:rPr>
          <w:rStyle w:val="Strong"/>
          <w:rFonts w:eastAsia="Times New Roman" w:cs="Calibri"/>
          <w:b w:val="0"/>
        </w:rPr>
        <w:t>see Note 1)</w:t>
      </w:r>
      <w:r w:rsidRPr="00763BEE">
        <w:rPr>
          <w:rStyle w:val="Strong"/>
          <w:rFonts w:eastAsia="Times New Roman" w:cs="Calibri"/>
          <w:b w:val="0"/>
        </w:rPr>
        <w:t xml:space="preserve">, </w:t>
      </w:r>
      <w:r w:rsidRPr="00763BEE">
        <w:rPr>
          <w:rStyle w:val="Strong"/>
          <w:rFonts w:eastAsia="Times New Roman" w:cs="Calibri"/>
          <w:b w:val="0"/>
          <w:i/>
        </w:rPr>
        <w:t>and/or</w:t>
      </w:r>
    </w:p>
    <w:p w14:paraId="6028A3A2" w14:textId="3B79F64C" w:rsidR="00F337BB" w:rsidRPr="00763BEE" w:rsidRDefault="00F337BB" w:rsidP="005F231D">
      <w:pPr>
        <w:numPr>
          <w:ilvl w:val="1"/>
          <w:numId w:val="4"/>
        </w:numPr>
        <w:spacing w:after="120" w:line="240" w:lineRule="auto"/>
        <w:ind w:left="1077" w:hanging="357"/>
        <w:rPr>
          <w:rStyle w:val="Strong"/>
          <w:rFonts w:eastAsia="Times New Roman" w:cs="Calibri"/>
          <w:b w:val="0"/>
          <w:bCs w:val="0"/>
        </w:rPr>
      </w:pPr>
      <w:r w:rsidRPr="00763BEE">
        <w:rPr>
          <w:rStyle w:val="Strong"/>
          <w:rFonts w:eastAsia="Times New Roman" w:cs="Calibri"/>
          <w:b w:val="0"/>
        </w:rPr>
        <w:lastRenderedPageBreak/>
        <w:t xml:space="preserve">radiographic chest imaging </w:t>
      </w:r>
      <w:r w:rsidR="00956204" w:rsidRPr="00763BEE">
        <w:rPr>
          <w:rStyle w:val="Strong"/>
          <w:rFonts w:eastAsia="Times New Roman" w:cs="Calibri"/>
          <w:b w:val="0"/>
        </w:rPr>
        <w:t>and/</w:t>
      </w:r>
      <w:r w:rsidR="00DB5935" w:rsidRPr="00763BEE">
        <w:rPr>
          <w:rStyle w:val="Strong"/>
          <w:rFonts w:eastAsia="Times New Roman" w:cs="Calibri"/>
          <w:b w:val="0"/>
        </w:rPr>
        <w:t xml:space="preserve">or other non-invasive assessment of cardiac function </w:t>
      </w:r>
      <w:r w:rsidR="003D4B47" w:rsidRPr="00763BEE">
        <w:rPr>
          <w:rStyle w:val="Strong"/>
          <w:rFonts w:eastAsia="Times New Roman" w:cs="Calibri"/>
          <w:b w:val="0"/>
        </w:rPr>
        <w:t xml:space="preserve">e.g. echocardiogram </w:t>
      </w:r>
      <w:r w:rsidRPr="00763BEE">
        <w:rPr>
          <w:rStyle w:val="Strong"/>
          <w:rFonts w:eastAsia="Times New Roman" w:cs="Calibri"/>
          <w:b w:val="0"/>
        </w:rPr>
        <w:t>(</w:t>
      </w:r>
      <w:r w:rsidR="008D2332" w:rsidRPr="00763BEE">
        <w:rPr>
          <w:rStyle w:val="Strong"/>
          <w:rFonts w:eastAsia="Times New Roman" w:cs="Calibri"/>
          <w:b w:val="0"/>
        </w:rPr>
        <w:t>s</w:t>
      </w:r>
      <w:r w:rsidRPr="00763BEE">
        <w:rPr>
          <w:rStyle w:val="Strong"/>
          <w:rFonts w:eastAsia="Times New Roman" w:cs="Calibri"/>
          <w:b w:val="0"/>
        </w:rPr>
        <w:t>ee Note</w:t>
      </w:r>
      <w:r w:rsidR="001424B3" w:rsidRPr="00763BEE">
        <w:rPr>
          <w:rStyle w:val="Strong"/>
          <w:rFonts w:eastAsia="Times New Roman" w:cs="Calibri"/>
          <w:b w:val="0"/>
        </w:rPr>
        <w:t xml:space="preserve"> 2</w:t>
      </w:r>
      <w:r w:rsidRPr="00763BEE">
        <w:rPr>
          <w:rStyle w:val="Strong"/>
          <w:rFonts w:eastAsia="Times New Roman" w:cs="Calibri"/>
          <w:b w:val="0"/>
        </w:rPr>
        <w:t>)</w:t>
      </w:r>
    </w:p>
    <w:p w14:paraId="121A62A2" w14:textId="2312E29C" w:rsidR="00DB0970" w:rsidRPr="00763BEE" w:rsidRDefault="00DB0970" w:rsidP="005F231D">
      <w:pPr>
        <w:numPr>
          <w:ilvl w:val="0"/>
          <w:numId w:val="4"/>
        </w:numPr>
        <w:spacing w:after="120" w:line="240" w:lineRule="auto"/>
        <w:ind w:left="357" w:hanging="357"/>
        <w:rPr>
          <w:rFonts w:eastAsia="Times New Roman" w:cs="Calibri"/>
          <w:b/>
        </w:rPr>
      </w:pPr>
      <w:r w:rsidRPr="00763BEE">
        <w:rPr>
          <w:rFonts w:cs="Calibri"/>
          <w:bCs/>
        </w:rPr>
        <w:t xml:space="preserve">Evidence for cardiovascular system changes </w:t>
      </w:r>
      <w:r w:rsidR="00915D51" w:rsidRPr="00763BEE">
        <w:rPr>
          <w:rFonts w:cs="Calibri"/>
          <w:bCs/>
        </w:rPr>
        <w:t xml:space="preserve">not explained by the patient’s underlying medical condition, </w:t>
      </w:r>
      <w:r w:rsidRPr="00763BEE">
        <w:rPr>
          <w:rFonts w:cs="Calibri"/>
          <w:bCs/>
        </w:rPr>
        <w:t>including development of tachycardia, hypertension, jugular venous distension</w:t>
      </w:r>
      <w:r w:rsidR="003D3B8A" w:rsidRPr="00763BEE">
        <w:rPr>
          <w:rFonts w:cs="Calibri"/>
          <w:bCs/>
        </w:rPr>
        <w:t>, enlarged cardiac silhouette</w:t>
      </w:r>
      <w:r w:rsidRPr="00763BEE">
        <w:rPr>
          <w:rFonts w:cs="Calibri"/>
          <w:bCs/>
        </w:rPr>
        <w:t xml:space="preserve"> and</w:t>
      </w:r>
      <w:r w:rsidR="00DA5DD7" w:rsidRPr="00763BEE">
        <w:rPr>
          <w:rFonts w:cs="Calibri"/>
          <w:bCs/>
        </w:rPr>
        <w:t>/or</w:t>
      </w:r>
      <w:r w:rsidRPr="00763BEE">
        <w:rPr>
          <w:rFonts w:cs="Calibri"/>
          <w:bCs/>
        </w:rPr>
        <w:t xml:space="preserve"> peripheral </w:t>
      </w:r>
      <w:r w:rsidR="00000302" w:rsidRPr="00763BEE">
        <w:rPr>
          <w:rFonts w:cs="Calibri"/>
          <w:bCs/>
        </w:rPr>
        <w:t>o</w:t>
      </w:r>
      <w:r w:rsidRPr="00763BEE">
        <w:rPr>
          <w:rFonts w:cs="Calibri"/>
          <w:bCs/>
        </w:rPr>
        <w:t>edema</w:t>
      </w:r>
      <w:r w:rsidRPr="00763BEE">
        <w:rPr>
          <w:rStyle w:val="Strong"/>
          <w:rFonts w:eastAsia="Times New Roman" w:cs="Calibri"/>
          <w:b w:val="0"/>
        </w:rPr>
        <w:t xml:space="preserve"> </w:t>
      </w:r>
      <w:r w:rsidRPr="00763BEE">
        <w:rPr>
          <w:rFonts w:cs="Calibri"/>
          <w:bCs/>
        </w:rPr>
        <w:t>(</w:t>
      </w:r>
      <w:r w:rsidR="008D2332" w:rsidRPr="00763BEE">
        <w:rPr>
          <w:rFonts w:cs="Calibri"/>
          <w:bCs/>
        </w:rPr>
        <w:t>s</w:t>
      </w:r>
      <w:r w:rsidRPr="00763BEE">
        <w:rPr>
          <w:rFonts w:cs="Calibri"/>
          <w:bCs/>
        </w:rPr>
        <w:t>ee Note</w:t>
      </w:r>
      <w:r w:rsidR="001424B3" w:rsidRPr="00763BEE">
        <w:rPr>
          <w:rFonts w:cs="Calibri"/>
          <w:bCs/>
        </w:rPr>
        <w:t xml:space="preserve"> 3)</w:t>
      </w:r>
    </w:p>
    <w:p w14:paraId="1946A018" w14:textId="77777777" w:rsidR="00F337BB" w:rsidRPr="00763BEE" w:rsidRDefault="00F337BB" w:rsidP="005F231D">
      <w:pPr>
        <w:numPr>
          <w:ilvl w:val="0"/>
          <w:numId w:val="4"/>
        </w:numPr>
        <w:spacing w:after="120" w:line="240" w:lineRule="auto"/>
        <w:ind w:left="357" w:hanging="357"/>
        <w:rPr>
          <w:rStyle w:val="Strong"/>
          <w:rFonts w:cs="Calibri"/>
          <w:b w:val="0"/>
          <w:bCs w:val="0"/>
        </w:rPr>
      </w:pPr>
      <w:r w:rsidRPr="00763BEE">
        <w:rPr>
          <w:rStyle w:val="Strong"/>
          <w:rFonts w:eastAsia="Times New Roman" w:cs="Calibri"/>
          <w:b w:val="0"/>
        </w:rPr>
        <w:t xml:space="preserve">Evidence of fluid overload including any of the following: </w:t>
      </w:r>
      <w:r w:rsidRPr="00763BEE">
        <w:rPr>
          <w:rStyle w:val="Strong"/>
          <w:rFonts w:cs="Calibri"/>
          <w:b w:val="0"/>
        </w:rPr>
        <w:t xml:space="preserve">a positive fluid balance; response to diuretic therapy combined with clinical improvement; and </w:t>
      </w:r>
      <w:r w:rsidR="00747F28" w:rsidRPr="00763BEE">
        <w:rPr>
          <w:rStyle w:val="Strong"/>
          <w:rFonts w:cs="Calibri"/>
          <w:b w:val="0"/>
        </w:rPr>
        <w:t>change</w:t>
      </w:r>
      <w:r w:rsidRPr="00763BEE">
        <w:rPr>
          <w:rStyle w:val="Strong"/>
          <w:rFonts w:cs="Calibri"/>
          <w:b w:val="0"/>
        </w:rPr>
        <w:t xml:space="preserve"> in the patient’s weight in the peri-transfusion period</w:t>
      </w:r>
      <w:r w:rsidR="00747F28" w:rsidRPr="00763BEE">
        <w:rPr>
          <w:rStyle w:val="Strong"/>
          <w:rFonts w:cs="Calibri"/>
          <w:b w:val="0"/>
        </w:rPr>
        <w:t xml:space="preserve"> (</w:t>
      </w:r>
      <w:r w:rsidR="008D2332" w:rsidRPr="00763BEE">
        <w:rPr>
          <w:rStyle w:val="Strong"/>
          <w:rFonts w:cs="Calibri"/>
          <w:b w:val="0"/>
        </w:rPr>
        <w:t>s</w:t>
      </w:r>
      <w:r w:rsidR="00747F28" w:rsidRPr="00763BEE">
        <w:rPr>
          <w:rStyle w:val="Strong"/>
          <w:rFonts w:cs="Calibri"/>
          <w:b w:val="0"/>
        </w:rPr>
        <w:t>ee Note 4)</w:t>
      </w:r>
    </w:p>
    <w:p w14:paraId="399BF7A9" w14:textId="1AED77A0" w:rsidR="00AE355A" w:rsidRPr="00763BEE" w:rsidRDefault="00DE59ED" w:rsidP="005F231D">
      <w:pPr>
        <w:numPr>
          <w:ilvl w:val="0"/>
          <w:numId w:val="4"/>
        </w:numPr>
        <w:spacing w:before="120" w:after="120" w:line="240" w:lineRule="auto"/>
        <w:ind w:left="357" w:hanging="357"/>
        <w:rPr>
          <w:rFonts w:cs="Calibri"/>
        </w:rPr>
      </w:pPr>
      <w:r w:rsidRPr="00763BEE">
        <w:rPr>
          <w:rFonts w:cs="Calibri"/>
        </w:rPr>
        <w:t xml:space="preserve">Elevation in </w:t>
      </w:r>
      <w:r w:rsidR="00045BE9" w:rsidRPr="00763BEE">
        <w:rPr>
          <w:rFonts w:cs="Calibri"/>
        </w:rPr>
        <w:t>B type</w:t>
      </w:r>
      <w:r w:rsidRPr="00763BEE">
        <w:rPr>
          <w:rFonts w:cs="Calibri"/>
        </w:rPr>
        <w:t xml:space="preserve"> natriuretic peptide (NP) levels (e.g., BNP or NT-pro BNP) to greater than 1.5 times the pretransfusion value</w:t>
      </w:r>
      <w:r w:rsidR="009B7F89" w:rsidRPr="00763BEE">
        <w:rPr>
          <w:rFonts w:cs="Calibri"/>
        </w:rPr>
        <w:t>.</w:t>
      </w:r>
      <w:r w:rsidR="00826635" w:rsidRPr="00763BEE">
        <w:rPr>
          <w:rFonts w:cs="Calibri"/>
        </w:rPr>
        <w:t xml:space="preserve"> </w:t>
      </w:r>
      <w:r w:rsidRPr="00763BEE">
        <w:rPr>
          <w:rFonts w:cs="Calibri"/>
        </w:rPr>
        <w:t xml:space="preserve">A normal </w:t>
      </w:r>
      <w:r w:rsidR="000D300A" w:rsidRPr="00763BEE">
        <w:rPr>
          <w:rFonts w:cs="Calibri"/>
        </w:rPr>
        <w:t xml:space="preserve">post-transfusion </w:t>
      </w:r>
      <w:r w:rsidRPr="00763BEE">
        <w:rPr>
          <w:rFonts w:cs="Calibri"/>
        </w:rPr>
        <w:t xml:space="preserve">NP </w:t>
      </w:r>
      <w:r w:rsidR="00BC5F76" w:rsidRPr="00763BEE">
        <w:rPr>
          <w:rFonts w:cs="Calibri"/>
        </w:rPr>
        <w:t>level</w:t>
      </w:r>
      <w:r w:rsidRPr="00763BEE">
        <w:rPr>
          <w:rFonts w:cs="Calibri"/>
        </w:rPr>
        <w:t xml:space="preserve"> is not consistent with a diagnosis of TACO; serial testing of NP levels in the peri-transfusion period may be helpful in identifying TACO.</w:t>
      </w:r>
    </w:p>
    <w:p w14:paraId="1DC40CCA" w14:textId="33B9B6B3" w:rsidR="003F7D4F" w:rsidRPr="00763BEE" w:rsidRDefault="003F7D4F" w:rsidP="005F231D">
      <w:pPr>
        <w:spacing w:after="0" w:line="240" w:lineRule="auto"/>
        <w:rPr>
          <w:rFonts w:eastAsia="Times New Roman" w:cs="Calibri"/>
          <w:b/>
        </w:rPr>
      </w:pPr>
      <w:r w:rsidRPr="00763BEE">
        <w:rPr>
          <w:rFonts w:cs="Calibri"/>
          <w:b/>
        </w:rPr>
        <w:t>*</w:t>
      </w:r>
      <w:r w:rsidRPr="00763BEE">
        <w:rPr>
          <w:rFonts w:cs="Calibri"/>
        </w:rPr>
        <w:t xml:space="preserve">These criteria establish a surveillance definition based on a complete description of an event, including information that becomes available well after onset.  This is for reporting and tracking purposes and </w:t>
      </w:r>
      <w:r w:rsidR="00826635" w:rsidRPr="00763BEE">
        <w:rPr>
          <w:rFonts w:cs="Calibri"/>
        </w:rPr>
        <w:t xml:space="preserve">the criteria </w:t>
      </w:r>
      <w:r w:rsidRPr="00763BEE">
        <w:rPr>
          <w:rFonts w:cs="Calibri"/>
        </w:rPr>
        <w:t>do not constitute clinical diagnosis for the purpose of real-time clinical interventions.</w:t>
      </w:r>
    </w:p>
    <w:p w14:paraId="2F78F114" w14:textId="77777777" w:rsidR="00694FAC" w:rsidRPr="00763BEE" w:rsidRDefault="00694FAC" w:rsidP="005F231D">
      <w:pPr>
        <w:spacing w:after="0" w:line="240" w:lineRule="auto"/>
        <w:ind w:left="357"/>
        <w:rPr>
          <w:rFonts w:cs="Calibri"/>
        </w:rPr>
      </w:pPr>
      <w:r w:rsidRPr="00763BEE">
        <w:rPr>
          <w:rFonts w:cs="Calibri"/>
          <w:bCs/>
        </w:rPr>
        <w:t xml:space="preserve"> </w:t>
      </w:r>
    </w:p>
    <w:p w14:paraId="4DC54835" w14:textId="77777777" w:rsidR="00694FAC" w:rsidRPr="00763BEE" w:rsidRDefault="00694FAC" w:rsidP="005F231D">
      <w:pPr>
        <w:spacing w:line="240" w:lineRule="auto"/>
        <w:rPr>
          <w:rFonts w:cs="Calibri"/>
          <w:b/>
          <w:u w:val="single"/>
        </w:rPr>
      </w:pPr>
      <w:r w:rsidRPr="00763BEE">
        <w:rPr>
          <w:rFonts w:cs="Calibri"/>
          <w:b/>
          <w:u w:val="single"/>
        </w:rPr>
        <w:t xml:space="preserve">Notes </w:t>
      </w:r>
    </w:p>
    <w:p w14:paraId="246FFF15" w14:textId="5501B191" w:rsidR="001424B3" w:rsidRPr="00763BEE" w:rsidRDefault="001424B3" w:rsidP="005F231D">
      <w:pPr>
        <w:numPr>
          <w:ilvl w:val="0"/>
          <w:numId w:val="12"/>
        </w:numPr>
        <w:spacing w:after="0" w:line="240" w:lineRule="auto"/>
        <w:ind w:left="0" w:firstLine="360"/>
        <w:rPr>
          <w:rStyle w:val="Strong"/>
          <w:rFonts w:eastAsia="Times New Roman" w:cs="Calibri"/>
          <w:b w:val="0"/>
        </w:rPr>
      </w:pPr>
      <w:r w:rsidRPr="00763BEE">
        <w:rPr>
          <w:rStyle w:val="Strong"/>
          <w:rFonts w:eastAsia="Times New Roman" w:cs="Calibri"/>
        </w:rPr>
        <w:t>Clinical findings</w:t>
      </w:r>
      <w:r w:rsidR="00DC0711" w:rsidRPr="00763BEE">
        <w:rPr>
          <w:rStyle w:val="Strong"/>
          <w:rFonts w:eastAsia="Times New Roman" w:cs="Calibri"/>
          <w:b w:val="0"/>
        </w:rPr>
        <w:t xml:space="preserve"> </w:t>
      </w:r>
      <w:r w:rsidR="00D22552" w:rsidRPr="00763BEE">
        <w:rPr>
          <w:rStyle w:val="Strong"/>
          <w:rFonts w:eastAsia="Times New Roman" w:cs="Calibri"/>
          <w:b w:val="0"/>
        </w:rPr>
        <w:t>could</w:t>
      </w:r>
      <w:r w:rsidR="00DC0711" w:rsidRPr="00763BEE">
        <w:rPr>
          <w:rStyle w:val="Strong"/>
          <w:rFonts w:eastAsia="Times New Roman" w:cs="Calibri"/>
          <w:b w:val="0"/>
        </w:rPr>
        <w:t xml:space="preserve"> </w:t>
      </w:r>
      <w:r w:rsidRPr="00763BEE">
        <w:rPr>
          <w:rStyle w:val="Strong"/>
          <w:rFonts w:eastAsia="Times New Roman" w:cs="Calibri"/>
          <w:b w:val="0"/>
        </w:rPr>
        <w:t>include</w:t>
      </w:r>
      <w:r w:rsidR="002113F1" w:rsidRPr="00763BEE">
        <w:rPr>
          <w:rStyle w:val="Strong"/>
          <w:rFonts w:eastAsia="Times New Roman" w:cs="Calibri"/>
          <w:b w:val="0"/>
        </w:rPr>
        <w:t xml:space="preserve"> </w:t>
      </w:r>
      <w:r w:rsidRPr="00763BEE">
        <w:rPr>
          <w:rStyle w:val="Strong"/>
          <w:rFonts w:eastAsia="Times New Roman" w:cs="Calibri"/>
          <w:b w:val="0"/>
        </w:rPr>
        <w:t>crackles</w:t>
      </w:r>
      <w:r w:rsidR="002113F1" w:rsidRPr="00763BEE">
        <w:rPr>
          <w:rStyle w:val="Strong"/>
          <w:rFonts w:eastAsia="Times New Roman" w:cs="Calibri"/>
          <w:b w:val="0"/>
        </w:rPr>
        <w:t xml:space="preserve"> on lung auscultation</w:t>
      </w:r>
      <w:r w:rsidRPr="00763BEE">
        <w:rPr>
          <w:rStyle w:val="Strong"/>
          <w:rFonts w:eastAsia="Times New Roman" w:cs="Calibri"/>
          <w:b w:val="0"/>
        </w:rPr>
        <w:t>, orthopnea and cough</w:t>
      </w:r>
      <w:r w:rsidR="002113F1" w:rsidRPr="00763BEE">
        <w:rPr>
          <w:rStyle w:val="Strong"/>
          <w:rFonts w:eastAsia="Times New Roman" w:cs="Calibri"/>
          <w:b w:val="0"/>
        </w:rPr>
        <w:t>,</w:t>
      </w:r>
      <w:r w:rsidRPr="00763BEE">
        <w:rPr>
          <w:rStyle w:val="Strong"/>
          <w:rFonts w:eastAsia="Times New Roman" w:cs="Calibri"/>
          <w:b w:val="0"/>
        </w:rPr>
        <w:t xml:space="preserve"> cyanosis and decreased oxygen saturation values</w:t>
      </w:r>
      <w:r w:rsidR="00D22552" w:rsidRPr="00763BEE">
        <w:rPr>
          <w:rStyle w:val="Strong"/>
          <w:rFonts w:eastAsia="Times New Roman" w:cs="Calibri"/>
          <w:b w:val="0"/>
        </w:rPr>
        <w:t xml:space="preserve"> in the absence of other specific causes</w:t>
      </w:r>
      <w:r w:rsidRPr="00763BEE">
        <w:rPr>
          <w:rStyle w:val="Strong"/>
          <w:rFonts w:eastAsia="Times New Roman" w:cs="Calibri"/>
          <w:b w:val="0"/>
        </w:rPr>
        <w:t>.</w:t>
      </w:r>
    </w:p>
    <w:p w14:paraId="77999CB2" w14:textId="77777777" w:rsidR="001424B3" w:rsidRPr="00763BEE" w:rsidRDefault="001424B3" w:rsidP="005F231D">
      <w:pPr>
        <w:spacing w:after="0" w:line="240" w:lineRule="auto"/>
        <w:ind w:left="720"/>
        <w:rPr>
          <w:rFonts w:eastAsia="Times New Roman" w:cs="Calibri"/>
          <w:bCs/>
        </w:rPr>
      </w:pPr>
    </w:p>
    <w:p w14:paraId="5B1D5139" w14:textId="32590663" w:rsidR="00AE355A" w:rsidRPr="00763BEE" w:rsidRDefault="00694FAC" w:rsidP="005F231D">
      <w:pPr>
        <w:numPr>
          <w:ilvl w:val="0"/>
          <w:numId w:val="12"/>
        </w:numPr>
        <w:spacing w:after="0" w:line="240" w:lineRule="auto"/>
        <w:rPr>
          <w:rFonts w:eastAsia="Times New Roman" w:cs="Calibri"/>
          <w:bCs/>
        </w:rPr>
      </w:pPr>
      <w:r w:rsidRPr="00763BEE">
        <w:rPr>
          <w:rFonts w:cs="Calibri"/>
          <w:b/>
        </w:rPr>
        <w:t xml:space="preserve">Diagnostic </w:t>
      </w:r>
      <w:r w:rsidR="00E33330" w:rsidRPr="00763BEE">
        <w:rPr>
          <w:rFonts w:cs="Calibri"/>
          <w:b/>
        </w:rPr>
        <w:t>r</w:t>
      </w:r>
      <w:r w:rsidR="00826635" w:rsidRPr="00763BEE">
        <w:rPr>
          <w:rFonts w:cs="Calibri"/>
          <w:b/>
        </w:rPr>
        <w:t>adiographic i</w:t>
      </w:r>
      <w:r w:rsidRPr="00763BEE">
        <w:rPr>
          <w:rFonts w:cs="Calibri"/>
          <w:b/>
        </w:rPr>
        <w:t>maging</w:t>
      </w:r>
    </w:p>
    <w:p w14:paraId="0EC1DB97" w14:textId="1C58B087" w:rsidR="00694FAC" w:rsidRPr="00763BEE" w:rsidRDefault="001424B3" w:rsidP="005F231D">
      <w:pPr>
        <w:spacing w:line="240" w:lineRule="auto"/>
        <w:rPr>
          <w:rFonts w:cs="Calibri"/>
          <w:b/>
        </w:rPr>
      </w:pPr>
      <w:r w:rsidRPr="00763BEE">
        <w:rPr>
          <w:rStyle w:val="Strong"/>
          <w:rFonts w:eastAsia="Times New Roman" w:cs="Calibri"/>
          <w:b w:val="0"/>
        </w:rPr>
        <w:t xml:space="preserve">Findings consistent with </w:t>
      </w:r>
      <w:r w:rsidR="00BE722D" w:rsidRPr="00763BEE">
        <w:rPr>
          <w:rStyle w:val="Strong"/>
          <w:rFonts w:eastAsia="Times New Roman" w:cs="Calibri"/>
          <w:b w:val="0"/>
        </w:rPr>
        <w:t xml:space="preserve">pulmonary oedema from </w:t>
      </w:r>
      <w:r w:rsidRPr="00763BEE">
        <w:rPr>
          <w:rStyle w:val="Strong"/>
          <w:rFonts w:eastAsia="Times New Roman" w:cs="Calibri"/>
          <w:b w:val="0"/>
        </w:rPr>
        <w:t xml:space="preserve">circulatory overload </w:t>
      </w:r>
      <w:r w:rsidR="00DC0711" w:rsidRPr="00763BEE">
        <w:rPr>
          <w:rStyle w:val="Strong"/>
          <w:rFonts w:eastAsia="Times New Roman" w:cs="Calibri"/>
          <w:b w:val="0"/>
        </w:rPr>
        <w:t xml:space="preserve">could </w:t>
      </w:r>
      <w:r w:rsidRPr="00763BEE">
        <w:rPr>
          <w:rStyle w:val="Strong"/>
          <w:rFonts w:eastAsia="Times New Roman" w:cs="Calibri"/>
          <w:b w:val="0"/>
        </w:rPr>
        <w:t xml:space="preserve">include presence of new or worsening pleural effusions, </w:t>
      </w:r>
      <w:r w:rsidRPr="00763BEE">
        <w:rPr>
          <w:rFonts w:eastAsia="Times New Roman" w:cs="Calibri"/>
          <w:bCs/>
          <w:lang w:val="en"/>
        </w:rPr>
        <w:t>progressive lobar vessel enlargement, peribronchial cuffing, bilateral Kerley lines</w:t>
      </w:r>
      <w:r w:rsidR="00497651" w:rsidRPr="00763BEE">
        <w:rPr>
          <w:rFonts w:eastAsia="Times New Roman" w:cs="Calibri"/>
          <w:bCs/>
          <w:lang w:val="en"/>
        </w:rPr>
        <w:t>,</w:t>
      </w:r>
      <w:r w:rsidRPr="00763BEE">
        <w:rPr>
          <w:rFonts w:eastAsia="Times New Roman" w:cs="Calibri"/>
          <w:bCs/>
          <w:lang w:val="en"/>
        </w:rPr>
        <w:t xml:space="preserve"> alveolar oedema with nodular areas of increased opacity and</w:t>
      </w:r>
      <w:r w:rsidR="00BE722D" w:rsidRPr="00763BEE">
        <w:rPr>
          <w:rFonts w:eastAsia="Times New Roman" w:cs="Calibri"/>
          <w:bCs/>
          <w:lang w:val="en"/>
        </w:rPr>
        <w:t>/or</w:t>
      </w:r>
      <w:r w:rsidRPr="00763BEE">
        <w:rPr>
          <w:rStyle w:val="Strong"/>
          <w:rFonts w:eastAsia="Times New Roman" w:cs="Calibri"/>
          <w:b w:val="0"/>
          <w:lang w:val="en"/>
        </w:rPr>
        <w:t xml:space="preserve"> </w:t>
      </w:r>
      <w:r w:rsidRPr="00763BEE">
        <w:rPr>
          <w:rStyle w:val="Strong"/>
          <w:rFonts w:eastAsia="Times New Roman" w:cs="Calibri"/>
          <w:b w:val="0"/>
        </w:rPr>
        <w:t>cardiac silhouette enlargement.</w:t>
      </w:r>
    </w:p>
    <w:p w14:paraId="3E11E834" w14:textId="77777777" w:rsidR="001424B3" w:rsidRPr="00763BEE" w:rsidRDefault="00497651" w:rsidP="005F231D">
      <w:pPr>
        <w:numPr>
          <w:ilvl w:val="0"/>
          <w:numId w:val="12"/>
        </w:numPr>
        <w:spacing w:after="0" w:line="240" w:lineRule="auto"/>
        <w:rPr>
          <w:rFonts w:cs="Calibri"/>
          <w:b/>
        </w:rPr>
      </w:pPr>
      <w:r w:rsidRPr="00763BEE">
        <w:rPr>
          <w:rFonts w:cs="Calibri"/>
          <w:b/>
        </w:rPr>
        <w:t>Blood pressure m</w:t>
      </w:r>
      <w:r w:rsidR="001424B3" w:rsidRPr="00763BEE">
        <w:rPr>
          <w:rFonts w:cs="Calibri"/>
          <w:b/>
        </w:rPr>
        <w:t xml:space="preserve">onitoring </w:t>
      </w:r>
    </w:p>
    <w:p w14:paraId="5005DD25" w14:textId="77777777" w:rsidR="001424B3" w:rsidRPr="00763BEE" w:rsidRDefault="00F512EB" w:rsidP="005F231D">
      <w:pPr>
        <w:spacing w:line="240" w:lineRule="auto"/>
        <w:rPr>
          <w:rFonts w:eastAsia="Times New Roman" w:cs="Calibri"/>
        </w:rPr>
      </w:pPr>
      <w:r w:rsidRPr="00763BEE">
        <w:rPr>
          <w:rStyle w:val="Strong"/>
          <w:rFonts w:cs="Calibri"/>
          <w:b w:val="0"/>
        </w:rPr>
        <w:t>Often</w:t>
      </w:r>
      <w:r w:rsidR="001424B3" w:rsidRPr="00763BEE">
        <w:rPr>
          <w:rStyle w:val="Strong"/>
          <w:rFonts w:cs="Calibri"/>
          <w:b w:val="0"/>
        </w:rPr>
        <w:t xml:space="preserve"> the arterial pressure is raised, often with widened pulse pressure; however hypotension</w:t>
      </w:r>
      <w:r w:rsidR="001424B3" w:rsidRPr="00763BEE">
        <w:rPr>
          <w:rFonts w:eastAsia="Times New Roman" w:cs="Calibri"/>
        </w:rPr>
        <w:t xml:space="preserve"> may be a presenting feature, e.g. in patients in a state of acute cardiac collapse.</w:t>
      </w:r>
    </w:p>
    <w:p w14:paraId="0C01AE82" w14:textId="484CEAE2" w:rsidR="00747F28" w:rsidRPr="00763BEE" w:rsidRDefault="001424B3" w:rsidP="005F231D">
      <w:pPr>
        <w:spacing w:line="240" w:lineRule="auto"/>
        <w:rPr>
          <w:rStyle w:val="Strong"/>
          <w:rFonts w:cs="Calibri"/>
        </w:rPr>
      </w:pPr>
      <w:r w:rsidRPr="00763BEE">
        <w:rPr>
          <w:rFonts w:eastAsia="Times New Roman" w:cs="Calibri"/>
        </w:rPr>
        <w:t>B</w:t>
      </w:r>
      <w:r w:rsidRPr="00763BEE">
        <w:rPr>
          <w:rStyle w:val="Strong"/>
          <w:rFonts w:eastAsia="Times New Roman" w:cs="Calibri"/>
          <w:b w:val="0"/>
        </w:rPr>
        <w:t>lood pressure should be monitored especially if multi-unit transfusions are given.</w:t>
      </w:r>
    </w:p>
    <w:p w14:paraId="37907171" w14:textId="77777777" w:rsidR="00FE1EFE" w:rsidRPr="00763BEE" w:rsidRDefault="00747F28" w:rsidP="005F231D">
      <w:pPr>
        <w:numPr>
          <w:ilvl w:val="0"/>
          <w:numId w:val="12"/>
        </w:numPr>
        <w:spacing w:after="0" w:line="240" w:lineRule="auto"/>
        <w:rPr>
          <w:rFonts w:cs="Calibri"/>
          <w:b/>
        </w:rPr>
      </w:pPr>
      <w:r w:rsidRPr="00763BEE">
        <w:rPr>
          <w:rFonts w:cs="Calibri"/>
          <w:b/>
        </w:rPr>
        <w:t>Change in the patient</w:t>
      </w:r>
      <w:r w:rsidR="00FE1EFE" w:rsidRPr="00763BEE">
        <w:rPr>
          <w:rFonts w:cs="Calibri"/>
          <w:b/>
        </w:rPr>
        <w:t>’</w:t>
      </w:r>
      <w:r w:rsidRPr="00763BEE">
        <w:rPr>
          <w:rFonts w:cs="Calibri"/>
          <w:b/>
        </w:rPr>
        <w:t>s weight</w:t>
      </w:r>
    </w:p>
    <w:p w14:paraId="3B5CC914" w14:textId="77777777" w:rsidR="00747F28" w:rsidRPr="00763BEE" w:rsidRDefault="00747F28" w:rsidP="005F231D">
      <w:pPr>
        <w:spacing w:after="0" w:line="240" w:lineRule="auto"/>
        <w:rPr>
          <w:rFonts w:cs="Calibri"/>
          <w:b/>
        </w:rPr>
      </w:pPr>
      <w:r w:rsidRPr="00763BEE">
        <w:rPr>
          <w:rFonts w:cs="Calibri"/>
        </w:rPr>
        <w:t>Typically the patient’s weight will increase. However there may be a decrease following diuretic therapy.</w:t>
      </w:r>
    </w:p>
    <w:p w14:paraId="719AD39D" w14:textId="77777777" w:rsidR="00747F28" w:rsidRPr="00763BEE" w:rsidRDefault="00747F28" w:rsidP="005F231D">
      <w:pPr>
        <w:spacing w:after="0" w:line="240" w:lineRule="auto"/>
        <w:rPr>
          <w:rFonts w:cs="Calibri"/>
          <w:b/>
        </w:rPr>
      </w:pPr>
    </w:p>
    <w:p w14:paraId="4D09F688" w14:textId="77777777" w:rsidR="00335B42" w:rsidRPr="00763BEE" w:rsidRDefault="00335B42" w:rsidP="005F231D">
      <w:pPr>
        <w:spacing w:after="0" w:line="240" w:lineRule="auto"/>
        <w:rPr>
          <w:rFonts w:cs="Calibri"/>
          <w:b/>
        </w:rPr>
      </w:pPr>
      <w:r w:rsidRPr="00763BEE">
        <w:rPr>
          <w:rFonts w:cs="Calibri"/>
          <w:b/>
        </w:rPr>
        <w:t>Imputability</w:t>
      </w:r>
    </w:p>
    <w:p w14:paraId="6048169B" w14:textId="1C42F4EA" w:rsidR="00523820" w:rsidRPr="00763BEE" w:rsidRDefault="00EB623B" w:rsidP="005F231D">
      <w:pPr>
        <w:spacing w:line="240" w:lineRule="auto"/>
        <w:rPr>
          <w:rFonts w:cs="Calibri"/>
        </w:rPr>
      </w:pPr>
      <w:r w:rsidRPr="00763BEE">
        <w:rPr>
          <w:rFonts w:cs="Calibri"/>
        </w:rPr>
        <w:t xml:space="preserve">The imputability, the </w:t>
      </w:r>
      <w:r w:rsidRPr="00763BEE">
        <w:rPr>
          <w:rFonts w:cs="Calibri"/>
          <w:i/>
        </w:rPr>
        <w:t>causal</w:t>
      </w:r>
      <w:r w:rsidRPr="00763BEE">
        <w:rPr>
          <w:rFonts w:cs="Calibri"/>
        </w:rPr>
        <w:t xml:space="preserve"> contribution of the transfusion, is assessed separately</w:t>
      </w:r>
      <w:r w:rsidR="001424B3" w:rsidRPr="00763BEE">
        <w:rPr>
          <w:rFonts w:cs="Calibri"/>
        </w:rPr>
        <w:t>.</w:t>
      </w:r>
    </w:p>
    <w:p w14:paraId="4682A68E" w14:textId="77777777" w:rsidR="00763BEE" w:rsidRPr="00763BEE" w:rsidRDefault="00763BEE" w:rsidP="001A2DE2">
      <w:pPr>
        <w:autoSpaceDE w:val="0"/>
        <w:autoSpaceDN w:val="0"/>
        <w:adjustRightInd w:val="0"/>
        <w:spacing w:after="0" w:line="240" w:lineRule="auto"/>
        <w:rPr>
          <w:rFonts w:cs="Calibri"/>
          <w:b/>
          <w:bCs/>
          <w:color w:val="000000"/>
          <w:sz w:val="26"/>
          <w:szCs w:val="26"/>
          <w:lang w:eastAsia="nl-NL"/>
        </w:rPr>
      </w:pPr>
    </w:p>
    <w:p w14:paraId="1F1617A8" w14:textId="3701E615" w:rsidR="001A2DE2" w:rsidRPr="00763BEE" w:rsidRDefault="001A2DE2" w:rsidP="00AF314C">
      <w:pPr>
        <w:numPr>
          <w:ilvl w:val="0"/>
          <w:numId w:val="20"/>
        </w:numPr>
        <w:autoSpaceDE w:val="0"/>
        <w:autoSpaceDN w:val="0"/>
        <w:adjustRightInd w:val="0"/>
        <w:spacing w:after="0" w:line="240" w:lineRule="auto"/>
        <w:rPr>
          <w:rFonts w:cs="Calibri"/>
          <w:b/>
          <w:bCs/>
          <w:color w:val="000000"/>
          <w:sz w:val="28"/>
          <w:szCs w:val="28"/>
          <w:lang w:eastAsia="nl-NL"/>
        </w:rPr>
      </w:pPr>
      <w:r w:rsidRPr="00763BEE">
        <w:rPr>
          <w:rFonts w:cs="Calibri"/>
          <w:b/>
          <w:bCs/>
          <w:color w:val="000000"/>
          <w:sz w:val="28"/>
          <w:szCs w:val="28"/>
          <w:lang w:eastAsia="nl-NL"/>
        </w:rPr>
        <w:t>Transfusion-related acute lung injury (TRALI)</w:t>
      </w:r>
    </w:p>
    <w:p w14:paraId="798F43B6" w14:textId="2BCC8E29" w:rsidR="001A2DE2" w:rsidRPr="00763BEE" w:rsidRDefault="001A2DE2" w:rsidP="001A2DE2">
      <w:pPr>
        <w:autoSpaceDE w:val="0"/>
        <w:autoSpaceDN w:val="0"/>
        <w:adjustRightInd w:val="0"/>
        <w:spacing w:after="0" w:line="240" w:lineRule="auto"/>
        <w:rPr>
          <w:rFonts w:cs="Calibri"/>
          <w:lang w:eastAsia="nl-NL"/>
        </w:rPr>
      </w:pPr>
      <w:r w:rsidRPr="00763BEE">
        <w:rPr>
          <w:rFonts w:cs="Calibri"/>
          <w:color w:val="000000"/>
          <w:lang w:eastAsia="nl-NL"/>
        </w:rPr>
        <w:t>In patients with no evidence of acute lung injury (ALI) prior to transfusion, TRALI is</w:t>
      </w:r>
      <w:r w:rsidR="00763BEE" w:rsidRPr="00763BEE">
        <w:rPr>
          <w:rFonts w:cs="Calibri"/>
          <w:color w:val="000000"/>
          <w:lang w:eastAsia="nl-NL"/>
        </w:rPr>
        <w:t xml:space="preserve"> </w:t>
      </w:r>
      <w:r w:rsidRPr="00763BEE">
        <w:rPr>
          <w:rFonts w:cs="Calibri"/>
          <w:color w:val="000000"/>
          <w:lang w:eastAsia="nl-NL"/>
        </w:rPr>
        <w:t xml:space="preserve">diagnosed if a new ALI is </w:t>
      </w:r>
      <w:r w:rsidRPr="00763BEE">
        <w:rPr>
          <w:rFonts w:cs="Calibri"/>
          <w:lang w:eastAsia="nl-NL"/>
        </w:rPr>
        <w:t>present (all five criteria should be met):</w:t>
      </w:r>
    </w:p>
    <w:p w14:paraId="08259980" w14:textId="3F7A39E2" w:rsidR="001A2DE2" w:rsidRPr="00763BEE" w:rsidRDefault="001A2DE2" w:rsidP="00763BEE">
      <w:pPr>
        <w:numPr>
          <w:ilvl w:val="0"/>
          <w:numId w:val="19"/>
        </w:numPr>
        <w:autoSpaceDE w:val="0"/>
        <w:autoSpaceDN w:val="0"/>
        <w:adjustRightInd w:val="0"/>
        <w:spacing w:after="0" w:line="240" w:lineRule="auto"/>
        <w:rPr>
          <w:rFonts w:cs="Calibri"/>
          <w:color w:val="000000"/>
          <w:lang w:eastAsia="nl-NL"/>
        </w:rPr>
      </w:pPr>
      <w:r w:rsidRPr="00763BEE">
        <w:rPr>
          <w:rFonts w:cs="Calibri"/>
          <w:color w:val="000000"/>
          <w:lang w:eastAsia="nl-NL"/>
        </w:rPr>
        <w:t>Acute onset</w:t>
      </w:r>
    </w:p>
    <w:p w14:paraId="257E8B0F" w14:textId="53D1CA0D" w:rsidR="001A2DE2" w:rsidRPr="00763BEE" w:rsidRDefault="001A2DE2" w:rsidP="00763BEE">
      <w:pPr>
        <w:numPr>
          <w:ilvl w:val="0"/>
          <w:numId w:val="19"/>
        </w:numPr>
        <w:autoSpaceDE w:val="0"/>
        <w:autoSpaceDN w:val="0"/>
        <w:adjustRightInd w:val="0"/>
        <w:spacing w:after="0" w:line="240" w:lineRule="auto"/>
        <w:rPr>
          <w:rFonts w:cs="Calibri"/>
          <w:color w:val="000000"/>
          <w:lang w:eastAsia="nl-NL"/>
        </w:rPr>
      </w:pPr>
      <w:r w:rsidRPr="00763BEE">
        <w:rPr>
          <w:rFonts w:cs="Calibri"/>
          <w:color w:val="000000"/>
          <w:lang w:eastAsia="nl-NL"/>
        </w:rPr>
        <w:t>Hypoxemia</w:t>
      </w:r>
    </w:p>
    <w:p w14:paraId="02A983D6" w14:textId="77777777" w:rsidR="001A2DE2" w:rsidRPr="00763BEE" w:rsidRDefault="001A2DE2"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Pa02 / Fi02 &lt; 300 mm Hg or</w:t>
      </w:r>
    </w:p>
    <w:p w14:paraId="3C3363DC" w14:textId="77777777" w:rsidR="001A2DE2" w:rsidRPr="00763BEE" w:rsidRDefault="001A2DE2"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Oxygen saturation is &lt; 90% on room air or</w:t>
      </w:r>
    </w:p>
    <w:p w14:paraId="1A8AD4D4" w14:textId="77777777" w:rsidR="001A2DE2" w:rsidRPr="00763BEE" w:rsidRDefault="001A2DE2"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Other clinical evidence</w:t>
      </w:r>
    </w:p>
    <w:p w14:paraId="5B1394B1" w14:textId="0B2DB56A" w:rsidR="001A2DE2" w:rsidRPr="00763BEE" w:rsidRDefault="001A2DE2" w:rsidP="00763BEE">
      <w:pPr>
        <w:numPr>
          <w:ilvl w:val="0"/>
          <w:numId w:val="19"/>
        </w:numPr>
        <w:autoSpaceDE w:val="0"/>
        <w:autoSpaceDN w:val="0"/>
        <w:adjustRightInd w:val="0"/>
        <w:spacing w:after="0" w:line="240" w:lineRule="auto"/>
        <w:rPr>
          <w:rFonts w:cs="Calibri"/>
          <w:color w:val="000000"/>
          <w:lang w:eastAsia="nl-NL"/>
        </w:rPr>
      </w:pPr>
      <w:r w:rsidRPr="00763BEE">
        <w:rPr>
          <w:rFonts w:cs="Calibri"/>
          <w:color w:val="000000"/>
          <w:lang w:eastAsia="nl-NL"/>
        </w:rPr>
        <w:lastRenderedPageBreak/>
        <w:t>Bilateral infiltrates on frontal chest radiograph</w:t>
      </w:r>
    </w:p>
    <w:p w14:paraId="193C35AD" w14:textId="41344A5E" w:rsidR="001A2DE2" w:rsidRPr="00763BEE" w:rsidRDefault="001A2DE2" w:rsidP="00763BEE">
      <w:pPr>
        <w:numPr>
          <w:ilvl w:val="0"/>
          <w:numId w:val="19"/>
        </w:numPr>
        <w:autoSpaceDE w:val="0"/>
        <w:autoSpaceDN w:val="0"/>
        <w:adjustRightInd w:val="0"/>
        <w:spacing w:after="0" w:line="240" w:lineRule="auto"/>
        <w:rPr>
          <w:rFonts w:cs="Calibri"/>
          <w:color w:val="000000"/>
          <w:lang w:eastAsia="nl-NL"/>
        </w:rPr>
      </w:pPr>
      <w:r w:rsidRPr="00763BEE">
        <w:rPr>
          <w:rFonts w:cs="Calibri"/>
          <w:color w:val="000000"/>
          <w:lang w:eastAsia="nl-NL"/>
        </w:rPr>
        <w:t>No evidence of left atrial hypertension (i.e. circulatory overload)</w:t>
      </w:r>
    </w:p>
    <w:p w14:paraId="03F44B8F" w14:textId="09F36FFA" w:rsidR="001A2DE2" w:rsidRPr="00763BEE" w:rsidRDefault="001A2DE2" w:rsidP="001A2DE2">
      <w:pPr>
        <w:numPr>
          <w:ilvl w:val="0"/>
          <w:numId w:val="19"/>
        </w:numPr>
        <w:autoSpaceDE w:val="0"/>
        <w:autoSpaceDN w:val="0"/>
        <w:adjustRightInd w:val="0"/>
        <w:spacing w:after="0" w:line="240" w:lineRule="auto"/>
        <w:rPr>
          <w:rFonts w:cs="Calibri"/>
          <w:color w:val="000000"/>
          <w:lang w:eastAsia="nl-NL"/>
        </w:rPr>
      </w:pPr>
      <w:r w:rsidRPr="00763BEE">
        <w:rPr>
          <w:rFonts w:cs="Calibri"/>
          <w:color w:val="000000"/>
          <w:lang w:eastAsia="nl-NL"/>
        </w:rPr>
        <w:t>No temporal relationship to an alternative risk factor for ALI</w:t>
      </w:r>
      <w:r w:rsidRPr="00763BEE">
        <w:rPr>
          <w:rFonts w:cs="Calibri"/>
          <w:color w:val="FF0101"/>
          <w:lang w:eastAsia="nl-NL"/>
        </w:rPr>
        <w:t>,</w:t>
      </w:r>
      <w:r w:rsidR="00763BEE" w:rsidRPr="00763BEE">
        <w:rPr>
          <w:rFonts w:cs="Calibri"/>
          <w:color w:val="FF0101"/>
          <w:lang w:eastAsia="nl-NL"/>
        </w:rPr>
        <w:t xml:space="preserve"> </w:t>
      </w:r>
      <w:r w:rsidRPr="00763BEE">
        <w:rPr>
          <w:rFonts w:cs="Calibri"/>
          <w:color w:val="000000"/>
          <w:lang w:eastAsia="nl-NL"/>
        </w:rPr>
        <w:t>during or within 6 hours of completion of transfusion.</w:t>
      </w:r>
    </w:p>
    <w:p w14:paraId="5B1B877C" w14:textId="77777777" w:rsidR="00763BEE" w:rsidRDefault="00763BEE" w:rsidP="001A2DE2">
      <w:pPr>
        <w:autoSpaceDE w:val="0"/>
        <w:autoSpaceDN w:val="0"/>
        <w:adjustRightInd w:val="0"/>
        <w:spacing w:after="0" w:line="240" w:lineRule="auto"/>
        <w:rPr>
          <w:rFonts w:cs="Calibri"/>
          <w:color w:val="000000"/>
          <w:lang w:eastAsia="nl-NL"/>
        </w:rPr>
      </w:pPr>
    </w:p>
    <w:p w14:paraId="4E035FC0" w14:textId="77777777" w:rsidR="001A2DE2" w:rsidRPr="00763BEE" w:rsidRDefault="001A2DE2" w:rsidP="001A2DE2">
      <w:pPr>
        <w:autoSpaceDE w:val="0"/>
        <w:autoSpaceDN w:val="0"/>
        <w:adjustRightInd w:val="0"/>
        <w:spacing w:after="0" w:line="240" w:lineRule="auto"/>
        <w:rPr>
          <w:rFonts w:cs="Calibri"/>
          <w:color w:val="000000"/>
          <w:lang w:eastAsia="nl-NL"/>
        </w:rPr>
      </w:pPr>
      <w:r w:rsidRPr="00763BEE">
        <w:rPr>
          <w:rFonts w:cs="Calibri"/>
          <w:color w:val="000000"/>
          <w:lang w:eastAsia="nl-NL"/>
        </w:rPr>
        <w:t>Alternate risk factors for ALI are:</w:t>
      </w:r>
    </w:p>
    <w:p w14:paraId="727D286E" w14:textId="51CE4FA4" w:rsidR="001A2DE2" w:rsidRPr="00763BEE" w:rsidRDefault="001A2DE2" w:rsidP="00763BEE">
      <w:pPr>
        <w:numPr>
          <w:ilvl w:val="0"/>
          <w:numId w:val="19"/>
        </w:numPr>
        <w:autoSpaceDE w:val="0"/>
        <w:autoSpaceDN w:val="0"/>
        <w:adjustRightInd w:val="0"/>
        <w:spacing w:after="0" w:line="240" w:lineRule="auto"/>
        <w:rPr>
          <w:rFonts w:cs="Calibri"/>
          <w:color w:val="000000"/>
          <w:lang w:eastAsia="nl-NL"/>
        </w:rPr>
      </w:pPr>
      <w:r w:rsidRPr="00763BEE">
        <w:rPr>
          <w:rFonts w:cs="Calibri"/>
          <w:color w:val="000000"/>
          <w:lang w:eastAsia="nl-NL"/>
        </w:rPr>
        <w:t>Direct Lung Injury</w:t>
      </w:r>
    </w:p>
    <w:p w14:paraId="46850271" w14:textId="77777777" w:rsidR="001A2DE2" w:rsidRPr="00763BEE" w:rsidRDefault="001A2DE2"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Aspiration</w:t>
      </w:r>
    </w:p>
    <w:p w14:paraId="77BB73E7" w14:textId="77777777" w:rsidR="001A2DE2" w:rsidRPr="00763BEE" w:rsidRDefault="001A2DE2"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Pneumonia</w:t>
      </w:r>
    </w:p>
    <w:p w14:paraId="6D5A505D" w14:textId="77777777" w:rsidR="001A2DE2" w:rsidRPr="00763BEE" w:rsidRDefault="001A2DE2"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Toxic inhalation</w:t>
      </w:r>
    </w:p>
    <w:p w14:paraId="3CC9EBC2" w14:textId="77777777" w:rsidR="001A2DE2" w:rsidRPr="00763BEE" w:rsidRDefault="001A2DE2"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Lung contusion</w:t>
      </w:r>
    </w:p>
    <w:p w14:paraId="29664194" w14:textId="77777777" w:rsidR="001A2DE2" w:rsidRPr="00763BEE" w:rsidRDefault="001A2DE2"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Near drowning</w:t>
      </w:r>
    </w:p>
    <w:p w14:paraId="52EE84E9" w14:textId="5F402758" w:rsidR="001A2DE2" w:rsidRPr="00763BEE" w:rsidRDefault="001A2DE2" w:rsidP="00763BEE">
      <w:pPr>
        <w:numPr>
          <w:ilvl w:val="0"/>
          <w:numId w:val="19"/>
        </w:numPr>
        <w:autoSpaceDE w:val="0"/>
        <w:autoSpaceDN w:val="0"/>
        <w:adjustRightInd w:val="0"/>
        <w:spacing w:after="0" w:line="240" w:lineRule="auto"/>
        <w:rPr>
          <w:rFonts w:cs="Calibri"/>
          <w:color w:val="000000"/>
          <w:lang w:eastAsia="nl-NL"/>
        </w:rPr>
      </w:pPr>
      <w:r w:rsidRPr="00763BEE">
        <w:rPr>
          <w:rFonts w:cs="Calibri"/>
          <w:color w:val="000000"/>
          <w:lang w:eastAsia="nl-NL"/>
        </w:rPr>
        <w:t>Indirect Lung Injury</w:t>
      </w:r>
    </w:p>
    <w:p w14:paraId="236DB6B0" w14:textId="77777777" w:rsidR="001A2DE2" w:rsidRPr="00763BEE" w:rsidRDefault="001A2DE2"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Severe sepsis</w:t>
      </w:r>
    </w:p>
    <w:p w14:paraId="08076496" w14:textId="430641D3" w:rsidR="001A2DE2" w:rsidRPr="00763BEE" w:rsidRDefault="001A2DE2"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Shock</w:t>
      </w:r>
    </w:p>
    <w:p w14:paraId="2498BABC" w14:textId="77777777" w:rsidR="00D31DE4" w:rsidRPr="00763BEE" w:rsidRDefault="00D31DE4"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Multiple trauma</w:t>
      </w:r>
    </w:p>
    <w:p w14:paraId="1240779F" w14:textId="77777777" w:rsidR="00D31DE4" w:rsidRPr="00763BEE" w:rsidRDefault="00D31DE4"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Burn injury</w:t>
      </w:r>
    </w:p>
    <w:p w14:paraId="4E39C083" w14:textId="77777777" w:rsidR="00D31DE4" w:rsidRPr="00763BEE" w:rsidRDefault="00D31DE4"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Acute pancreatitis</w:t>
      </w:r>
    </w:p>
    <w:p w14:paraId="189B52CF" w14:textId="77777777" w:rsidR="00D31DE4" w:rsidRPr="00763BEE" w:rsidRDefault="00D31DE4"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Cardiopulmonary bypass</w:t>
      </w:r>
    </w:p>
    <w:p w14:paraId="19C49449" w14:textId="77777777" w:rsidR="00D31DE4" w:rsidRPr="00763BEE" w:rsidRDefault="00D31DE4" w:rsidP="00763BEE">
      <w:pPr>
        <w:autoSpaceDE w:val="0"/>
        <w:autoSpaceDN w:val="0"/>
        <w:adjustRightInd w:val="0"/>
        <w:spacing w:after="0" w:line="240" w:lineRule="auto"/>
        <w:ind w:left="708"/>
        <w:rPr>
          <w:rFonts w:cs="Calibri"/>
          <w:color w:val="000000"/>
          <w:lang w:eastAsia="nl-NL"/>
        </w:rPr>
      </w:pPr>
      <w:r w:rsidRPr="00763BEE">
        <w:rPr>
          <w:rFonts w:cs="Calibri"/>
          <w:color w:val="000000"/>
          <w:lang w:eastAsia="nl-NL"/>
        </w:rPr>
        <w:t>o Drug overdose</w:t>
      </w:r>
    </w:p>
    <w:p w14:paraId="3B3242AC" w14:textId="77777777" w:rsidR="00763BEE" w:rsidRDefault="00763BEE" w:rsidP="00D31DE4">
      <w:pPr>
        <w:autoSpaceDE w:val="0"/>
        <w:autoSpaceDN w:val="0"/>
        <w:adjustRightInd w:val="0"/>
        <w:spacing w:after="0" w:line="240" w:lineRule="auto"/>
        <w:rPr>
          <w:rFonts w:cs="Calibri"/>
          <w:color w:val="000000"/>
          <w:lang w:eastAsia="nl-NL"/>
        </w:rPr>
      </w:pPr>
    </w:p>
    <w:p w14:paraId="25797A21" w14:textId="77777777" w:rsidR="00D31DE4" w:rsidRPr="00763BEE" w:rsidRDefault="00D31DE4" w:rsidP="00D31DE4">
      <w:pPr>
        <w:autoSpaceDE w:val="0"/>
        <w:autoSpaceDN w:val="0"/>
        <w:adjustRightInd w:val="0"/>
        <w:spacing w:after="0" w:line="240" w:lineRule="auto"/>
        <w:rPr>
          <w:rFonts w:cs="Calibri"/>
          <w:i/>
          <w:iCs/>
          <w:color w:val="000000"/>
          <w:lang w:eastAsia="nl-NL"/>
        </w:rPr>
      </w:pPr>
      <w:r w:rsidRPr="00763BEE">
        <w:rPr>
          <w:rFonts w:cs="Calibri"/>
          <w:color w:val="000000"/>
          <w:lang w:eastAsia="nl-NL"/>
        </w:rPr>
        <w:t xml:space="preserve">It has been suggested by the Toronto TRALI Consensus Panel to add a category of </w:t>
      </w:r>
      <w:r w:rsidRPr="00763BEE">
        <w:rPr>
          <w:rFonts w:cs="Calibri"/>
          <w:i/>
          <w:iCs/>
          <w:color w:val="000000"/>
          <w:lang w:eastAsia="nl-NL"/>
        </w:rPr>
        <w:t>possible</w:t>
      </w:r>
    </w:p>
    <w:p w14:paraId="404F1403" w14:textId="77777777" w:rsidR="00D31DE4" w:rsidRPr="00763BEE" w:rsidRDefault="00D31DE4" w:rsidP="00D31DE4">
      <w:pPr>
        <w:autoSpaceDE w:val="0"/>
        <w:autoSpaceDN w:val="0"/>
        <w:adjustRightInd w:val="0"/>
        <w:spacing w:after="0" w:line="240" w:lineRule="auto"/>
        <w:rPr>
          <w:rFonts w:cs="Calibri"/>
          <w:color w:val="000000"/>
          <w:lang w:eastAsia="nl-NL"/>
        </w:rPr>
      </w:pPr>
      <w:r w:rsidRPr="00763BEE">
        <w:rPr>
          <w:rFonts w:cs="Calibri"/>
          <w:i/>
          <w:iCs/>
          <w:color w:val="000000"/>
          <w:lang w:eastAsia="nl-NL"/>
        </w:rPr>
        <w:t xml:space="preserve">TRALI </w:t>
      </w:r>
      <w:r w:rsidRPr="00763BEE">
        <w:rPr>
          <w:rFonts w:cs="Calibri"/>
          <w:color w:val="000000"/>
          <w:lang w:eastAsia="nl-NL"/>
        </w:rPr>
        <w:t>that would have the same definition as TRALI except for the presence of a temporal</w:t>
      </w:r>
    </w:p>
    <w:p w14:paraId="34BF90A1" w14:textId="77777777" w:rsidR="00D31DE4" w:rsidRPr="00763BEE" w:rsidRDefault="00D31DE4" w:rsidP="00D31DE4">
      <w:pPr>
        <w:autoSpaceDE w:val="0"/>
        <w:autoSpaceDN w:val="0"/>
        <w:adjustRightInd w:val="0"/>
        <w:spacing w:after="0" w:line="240" w:lineRule="auto"/>
        <w:rPr>
          <w:rFonts w:cs="Calibri"/>
          <w:color w:val="000000"/>
          <w:lang w:eastAsia="nl-NL"/>
        </w:rPr>
      </w:pPr>
      <w:r w:rsidRPr="00763BEE">
        <w:rPr>
          <w:rFonts w:cs="Calibri"/>
          <w:color w:val="000000"/>
          <w:lang w:eastAsia="nl-NL"/>
        </w:rPr>
        <w:t>relationship to an alternative risk factor for ALI (as described above). In such a circumstance</w:t>
      </w:r>
    </w:p>
    <w:p w14:paraId="341C4CA7" w14:textId="77777777" w:rsidR="00D31DE4" w:rsidRPr="00763BEE" w:rsidRDefault="00D31DE4" w:rsidP="00D31DE4">
      <w:pPr>
        <w:autoSpaceDE w:val="0"/>
        <w:autoSpaceDN w:val="0"/>
        <w:adjustRightInd w:val="0"/>
        <w:spacing w:after="0" w:line="240" w:lineRule="auto"/>
        <w:rPr>
          <w:rFonts w:cs="Calibri"/>
          <w:color w:val="000000"/>
          <w:lang w:eastAsia="nl-NL"/>
        </w:rPr>
      </w:pPr>
      <w:r w:rsidRPr="00763BEE">
        <w:rPr>
          <w:rFonts w:cs="Calibri"/>
          <w:color w:val="000000"/>
          <w:lang w:eastAsia="nl-NL"/>
        </w:rPr>
        <w:t xml:space="preserve">TRALI should be indicated with a </w:t>
      </w:r>
      <w:r w:rsidRPr="00763BEE">
        <w:rPr>
          <w:rFonts w:cs="Calibri"/>
          <w:i/>
          <w:iCs/>
          <w:color w:val="000000"/>
          <w:lang w:eastAsia="nl-NL"/>
        </w:rPr>
        <w:t xml:space="preserve">possible </w:t>
      </w:r>
      <w:r w:rsidRPr="00763BEE">
        <w:rPr>
          <w:rFonts w:cs="Calibri"/>
          <w:color w:val="000000"/>
          <w:lang w:eastAsia="nl-NL"/>
        </w:rPr>
        <w:t>imputability to transfusion.</w:t>
      </w:r>
    </w:p>
    <w:p w14:paraId="3CB5662E" w14:textId="77777777" w:rsidR="00D31DE4" w:rsidRPr="00763BEE" w:rsidRDefault="00D31DE4" w:rsidP="00D31DE4">
      <w:pPr>
        <w:autoSpaceDE w:val="0"/>
        <w:autoSpaceDN w:val="0"/>
        <w:adjustRightInd w:val="0"/>
        <w:spacing w:after="0" w:line="240" w:lineRule="auto"/>
        <w:rPr>
          <w:rFonts w:cs="Calibri"/>
          <w:lang w:eastAsia="nl-NL"/>
        </w:rPr>
      </w:pPr>
      <w:r w:rsidRPr="00763BEE">
        <w:rPr>
          <w:rFonts w:cs="Calibri"/>
          <w:color w:val="000000"/>
          <w:lang w:eastAsia="nl-NL"/>
        </w:rPr>
        <w:t xml:space="preserve">TRALI is therefore a clinical syndrome </w:t>
      </w:r>
      <w:r w:rsidRPr="00763BEE">
        <w:rPr>
          <w:rFonts w:cs="Calibri"/>
          <w:lang w:eastAsia="nl-NL"/>
        </w:rPr>
        <w:t>and neither presence of anti-HLA or anti-HNA</w:t>
      </w:r>
    </w:p>
    <w:p w14:paraId="161DBF71" w14:textId="77777777" w:rsidR="00D31DE4" w:rsidRPr="00763BEE" w:rsidRDefault="00D31DE4" w:rsidP="00D31DE4">
      <w:pPr>
        <w:autoSpaceDE w:val="0"/>
        <w:autoSpaceDN w:val="0"/>
        <w:adjustRightInd w:val="0"/>
        <w:spacing w:after="0" w:line="240" w:lineRule="auto"/>
        <w:rPr>
          <w:rFonts w:cs="Calibri"/>
          <w:lang w:eastAsia="nl-NL"/>
        </w:rPr>
      </w:pPr>
      <w:r w:rsidRPr="00763BEE">
        <w:rPr>
          <w:rFonts w:cs="Calibri"/>
          <w:lang w:eastAsia="nl-NL"/>
        </w:rPr>
        <w:t xml:space="preserve">antibodies </w:t>
      </w:r>
      <w:r w:rsidRPr="00763BEE">
        <w:rPr>
          <w:rFonts w:cs="Calibri"/>
          <w:b/>
          <w:bCs/>
          <w:lang w:eastAsia="nl-NL"/>
        </w:rPr>
        <w:t xml:space="preserve">in donor(s) </w:t>
      </w:r>
      <w:r w:rsidRPr="00763BEE">
        <w:rPr>
          <w:rFonts w:cs="Calibri"/>
          <w:lang w:eastAsia="nl-NL"/>
        </w:rPr>
        <w:t xml:space="preserve">nor confirmation of cognate antigens </w:t>
      </w:r>
      <w:r w:rsidRPr="00763BEE">
        <w:rPr>
          <w:rFonts w:cs="Calibri"/>
          <w:b/>
          <w:bCs/>
          <w:lang w:eastAsia="nl-NL"/>
        </w:rPr>
        <w:t xml:space="preserve">in recipient </w:t>
      </w:r>
      <w:r w:rsidRPr="00763BEE">
        <w:rPr>
          <w:rFonts w:cs="Calibri"/>
          <w:lang w:eastAsia="nl-NL"/>
        </w:rPr>
        <w:t>is required for</w:t>
      </w:r>
    </w:p>
    <w:p w14:paraId="2F4EDDB7" w14:textId="002E5A2A" w:rsidR="00D31DE4" w:rsidRPr="00763BEE" w:rsidRDefault="00D31DE4" w:rsidP="00D31DE4">
      <w:pPr>
        <w:autoSpaceDE w:val="0"/>
        <w:autoSpaceDN w:val="0"/>
        <w:adjustRightInd w:val="0"/>
        <w:spacing w:after="0" w:line="240" w:lineRule="auto"/>
        <w:rPr>
          <w:rFonts w:cs="Calibri"/>
          <w:lang w:eastAsia="nl-NL"/>
        </w:rPr>
      </w:pPr>
      <w:r w:rsidRPr="00763BEE">
        <w:rPr>
          <w:rFonts w:cs="Calibri"/>
          <w:lang w:eastAsia="nl-NL"/>
        </w:rPr>
        <w:t>diagnosis</w:t>
      </w:r>
      <w:r w:rsidR="00763BEE" w:rsidRPr="00763BEE">
        <w:rPr>
          <w:rFonts w:cs="Calibri"/>
          <w:lang w:eastAsia="nl-NL"/>
        </w:rPr>
        <w:t>.</w:t>
      </w:r>
    </w:p>
    <w:p w14:paraId="7C43D349" w14:textId="0D45B336" w:rsidR="00D31DE4" w:rsidRPr="00763BEE" w:rsidRDefault="00D31DE4" w:rsidP="00D31DE4">
      <w:pPr>
        <w:spacing w:line="240" w:lineRule="auto"/>
        <w:rPr>
          <w:rFonts w:cs="Calibri"/>
          <w:lang w:eastAsia="nl-NL"/>
        </w:rPr>
      </w:pPr>
    </w:p>
    <w:p w14:paraId="2AA42F98" w14:textId="1DBEF7C6" w:rsidR="00D31DE4" w:rsidRPr="00C0335F" w:rsidRDefault="00D31DE4" w:rsidP="00AF314C">
      <w:pPr>
        <w:numPr>
          <w:ilvl w:val="0"/>
          <w:numId w:val="20"/>
        </w:numPr>
        <w:autoSpaceDE w:val="0"/>
        <w:autoSpaceDN w:val="0"/>
        <w:adjustRightInd w:val="0"/>
        <w:spacing w:after="0" w:line="240" w:lineRule="auto"/>
        <w:rPr>
          <w:rFonts w:cs="Calibri"/>
          <w:b/>
          <w:bCs/>
          <w:sz w:val="28"/>
          <w:szCs w:val="28"/>
          <w:lang w:eastAsia="nl-NL"/>
        </w:rPr>
      </w:pPr>
      <w:r w:rsidRPr="00C0335F">
        <w:rPr>
          <w:rFonts w:cs="Calibri"/>
          <w:b/>
          <w:bCs/>
          <w:sz w:val="28"/>
          <w:szCs w:val="28"/>
          <w:lang w:eastAsia="nl-NL"/>
        </w:rPr>
        <w:t>Transfusion associated dyspnea (TAD)</w:t>
      </w:r>
    </w:p>
    <w:p w14:paraId="77C2B434" w14:textId="77777777" w:rsidR="00D31DE4" w:rsidRPr="00C0335F" w:rsidRDefault="00D31DE4" w:rsidP="00D31DE4">
      <w:pPr>
        <w:autoSpaceDE w:val="0"/>
        <w:autoSpaceDN w:val="0"/>
        <w:adjustRightInd w:val="0"/>
        <w:spacing w:after="0" w:line="240" w:lineRule="auto"/>
        <w:rPr>
          <w:rFonts w:cs="Calibri"/>
          <w:lang w:eastAsia="nl-NL"/>
        </w:rPr>
      </w:pPr>
      <w:r w:rsidRPr="00C0335F">
        <w:rPr>
          <w:rFonts w:cs="Calibri"/>
          <w:lang w:eastAsia="nl-NL"/>
        </w:rPr>
        <w:t>TAD is characterized by respiratory distress within 24 hours of transfusion that does not meet</w:t>
      </w:r>
    </w:p>
    <w:p w14:paraId="038834DE" w14:textId="77777777" w:rsidR="00D31DE4" w:rsidRPr="00C0335F" w:rsidRDefault="00D31DE4" w:rsidP="00D31DE4">
      <w:pPr>
        <w:autoSpaceDE w:val="0"/>
        <w:autoSpaceDN w:val="0"/>
        <w:adjustRightInd w:val="0"/>
        <w:spacing w:after="0" w:line="240" w:lineRule="auto"/>
        <w:rPr>
          <w:rFonts w:cs="Calibri"/>
          <w:lang w:eastAsia="nl-NL"/>
        </w:rPr>
      </w:pPr>
      <w:r w:rsidRPr="00C0335F">
        <w:rPr>
          <w:rFonts w:cs="Calibri"/>
          <w:lang w:eastAsia="nl-NL"/>
        </w:rPr>
        <w:t>the criteria of TRALI, TACO, or allergic reaction. Respiratory distress should be the most</w:t>
      </w:r>
    </w:p>
    <w:p w14:paraId="1B60D36F" w14:textId="77777777" w:rsidR="00D31DE4" w:rsidRPr="00C0335F" w:rsidRDefault="00D31DE4" w:rsidP="00D31DE4">
      <w:pPr>
        <w:autoSpaceDE w:val="0"/>
        <w:autoSpaceDN w:val="0"/>
        <w:adjustRightInd w:val="0"/>
        <w:spacing w:after="0" w:line="240" w:lineRule="auto"/>
        <w:rPr>
          <w:rFonts w:cs="Calibri"/>
          <w:lang w:eastAsia="nl-NL"/>
        </w:rPr>
      </w:pPr>
      <w:r w:rsidRPr="00C0335F">
        <w:rPr>
          <w:rFonts w:cs="Calibri"/>
          <w:lang w:eastAsia="nl-NL"/>
        </w:rPr>
        <w:t>prominent clinical feature and should not be explained by the patient’s underlying condition</w:t>
      </w:r>
    </w:p>
    <w:p w14:paraId="3421CF3D" w14:textId="6C9C184C" w:rsidR="00D31DE4" w:rsidRPr="00763BEE" w:rsidRDefault="00D31DE4" w:rsidP="00D31DE4">
      <w:pPr>
        <w:spacing w:line="240" w:lineRule="auto"/>
        <w:rPr>
          <w:rFonts w:cs="Calibri"/>
          <w:sz w:val="23"/>
          <w:szCs w:val="23"/>
          <w:lang w:eastAsia="nl-NL"/>
        </w:rPr>
      </w:pPr>
      <w:r w:rsidRPr="00C0335F">
        <w:rPr>
          <w:rFonts w:cs="Calibri"/>
          <w:lang w:eastAsia="nl-NL"/>
        </w:rPr>
        <w:t>or any other known cause.</w:t>
      </w:r>
    </w:p>
    <w:p w14:paraId="01721A6F" w14:textId="77777777" w:rsidR="00D31DE4" w:rsidRPr="00763BEE" w:rsidRDefault="00D31DE4" w:rsidP="00D31DE4">
      <w:pPr>
        <w:spacing w:line="240" w:lineRule="auto"/>
        <w:rPr>
          <w:rFonts w:cs="Calibri"/>
          <w:sz w:val="23"/>
          <w:szCs w:val="23"/>
          <w:lang w:eastAsia="nl-NL"/>
        </w:rPr>
      </w:pPr>
    </w:p>
    <w:p w14:paraId="1E41AF5F" w14:textId="507EA2A3" w:rsidR="00C0335F" w:rsidRDefault="00C0335F" w:rsidP="00AF314C">
      <w:pPr>
        <w:numPr>
          <w:ilvl w:val="0"/>
          <w:numId w:val="20"/>
        </w:numPr>
        <w:spacing w:after="0" w:line="240" w:lineRule="auto"/>
        <w:rPr>
          <w:rStyle w:val="Strong"/>
          <w:rFonts w:eastAsia="Times New Roman" w:cs="Calibri"/>
          <w:sz w:val="28"/>
          <w:szCs w:val="28"/>
        </w:rPr>
      </w:pPr>
      <w:r>
        <w:rPr>
          <w:rStyle w:val="Strong"/>
          <w:rFonts w:eastAsia="Times New Roman" w:cs="Calibri"/>
          <w:sz w:val="28"/>
          <w:szCs w:val="28"/>
        </w:rPr>
        <w:t>“Other”</w:t>
      </w:r>
    </w:p>
    <w:p w14:paraId="43BF5B25" w14:textId="68F293FC" w:rsidR="00C0335F" w:rsidRPr="00C0335F" w:rsidRDefault="00C0335F" w:rsidP="00C0335F">
      <w:pPr>
        <w:autoSpaceDE w:val="0"/>
        <w:autoSpaceDN w:val="0"/>
        <w:adjustRightInd w:val="0"/>
        <w:spacing w:after="0" w:line="240" w:lineRule="auto"/>
        <w:rPr>
          <w:bCs/>
          <w:sz w:val="23"/>
          <w:szCs w:val="23"/>
          <w:lang w:eastAsia="nl-NL"/>
        </w:rPr>
      </w:pPr>
      <w:r w:rsidRPr="00C0335F">
        <w:rPr>
          <w:bCs/>
          <w:sz w:val="23"/>
          <w:szCs w:val="23"/>
          <w:lang w:eastAsia="nl-NL"/>
        </w:rPr>
        <w:t>For the purposes of the Phase 2 validation exercise, please classify case examples which do not fit in the above categories of reactions as “other”.</w:t>
      </w:r>
    </w:p>
    <w:p w14:paraId="09B4DC66" w14:textId="77777777" w:rsidR="00C0335F" w:rsidRPr="00C0335F" w:rsidRDefault="00C0335F" w:rsidP="00C0335F">
      <w:pPr>
        <w:autoSpaceDE w:val="0"/>
        <w:autoSpaceDN w:val="0"/>
        <w:adjustRightInd w:val="0"/>
        <w:spacing w:after="0" w:line="240" w:lineRule="auto"/>
        <w:rPr>
          <w:b/>
          <w:bCs/>
          <w:sz w:val="23"/>
          <w:szCs w:val="23"/>
          <w:lang w:eastAsia="nl-NL"/>
        </w:rPr>
      </w:pPr>
    </w:p>
    <w:p w14:paraId="5F086A6C" w14:textId="77777777" w:rsidR="007D04B7" w:rsidRDefault="007D04B7" w:rsidP="005A6AF4">
      <w:pPr>
        <w:spacing w:after="0" w:line="240" w:lineRule="auto"/>
        <w:rPr>
          <w:rStyle w:val="Strong"/>
          <w:rFonts w:eastAsia="Times New Roman" w:cs="Calibri"/>
          <w:sz w:val="28"/>
          <w:szCs w:val="28"/>
        </w:rPr>
      </w:pPr>
    </w:p>
    <w:p w14:paraId="1D4530AE" w14:textId="60E7ABF7" w:rsidR="005A6AF4" w:rsidRPr="00763BEE" w:rsidRDefault="007D04B7" w:rsidP="005A6AF4">
      <w:pPr>
        <w:spacing w:after="0" w:line="240" w:lineRule="auto"/>
        <w:rPr>
          <w:rStyle w:val="Strong"/>
          <w:rFonts w:eastAsia="Times New Roman" w:cs="Calibri"/>
          <w:sz w:val="28"/>
          <w:szCs w:val="28"/>
        </w:rPr>
      </w:pPr>
      <w:r>
        <w:rPr>
          <w:rStyle w:val="Strong"/>
          <w:rFonts w:eastAsia="Times New Roman" w:cs="Calibri"/>
          <w:sz w:val="28"/>
          <w:szCs w:val="28"/>
        </w:rPr>
        <w:br w:type="page"/>
      </w:r>
      <w:r w:rsidR="005A6AF4" w:rsidRPr="00763BEE">
        <w:rPr>
          <w:rStyle w:val="Strong"/>
          <w:rFonts w:eastAsia="Times New Roman" w:cs="Calibri"/>
          <w:sz w:val="28"/>
          <w:szCs w:val="28"/>
        </w:rPr>
        <w:lastRenderedPageBreak/>
        <w:t xml:space="preserve">Background information about the </w:t>
      </w:r>
      <w:r w:rsidR="00C0335F">
        <w:rPr>
          <w:rStyle w:val="Strong"/>
          <w:rFonts w:eastAsia="Times New Roman" w:cs="Calibri"/>
          <w:sz w:val="28"/>
          <w:szCs w:val="28"/>
        </w:rPr>
        <w:t xml:space="preserve">TACO </w:t>
      </w:r>
      <w:r w:rsidR="005A6AF4" w:rsidRPr="00763BEE">
        <w:rPr>
          <w:rStyle w:val="Strong"/>
          <w:rFonts w:eastAsia="Times New Roman" w:cs="Calibri"/>
          <w:sz w:val="28"/>
          <w:szCs w:val="28"/>
        </w:rPr>
        <w:t>revision and 2017 validation</w:t>
      </w:r>
    </w:p>
    <w:p w14:paraId="026949DF" w14:textId="77777777" w:rsidR="005A6AF4" w:rsidRPr="00763BEE" w:rsidRDefault="005A6AF4" w:rsidP="005A6AF4">
      <w:pPr>
        <w:spacing w:after="0" w:line="240" w:lineRule="auto"/>
        <w:rPr>
          <w:rStyle w:val="Strong"/>
          <w:rFonts w:eastAsia="Times New Roman" w:cs="Calibri"/>
          <w:sz w:val="28"/>
          <w:szCs w:val="28"/>
        </w:rPr>
      </w:pPr>
    </w:p>
    <w:p w14:paraId="1C43AE81" w14:textId="77777777" w:rsidR="005A6AF4" w:rsidRPr="00763BEE" w:rsidRDefault="005A6AF4" w:rsidP="005A6AF4">
      <w:pPr>
        <w:spacing w:after="0" w:line="240" w:lineRule="auto"/>
        <w:rPr>
          <w:rFonts w:cs="Calibri"/>
          <w:b/>
        </w:rPr>
      </w:pPr>
      <w:r w:rsidRPr="00763BEE">
        <w:rPr>
          <w:rFonts w:cs="Calibri"/>
          <w:b/>
        </w:rPr>
        <w:t>Rationale for the revision</w:t>
      </w:r>
    </w:p>
    <w:p w14:paraId="6B8A5112" w14:textId="77777777" w:rsidR="005A6AF4" w:rsidRPr="00763BEE" w:rsidRDefault="005A6AF4" w:rsidP="005A6AF4">
      <w:pPr>
        <w:spacing w:line="240" w:lineRule="auto"/>
        <w:rPr>
          <w:rFonts w:cs="Calibri"/>
        </w:rPr>
      </w:pPr>
      <w:r w:rsidRPr="00763BEE">
        <w:rPr>
          <w:rFonts w:cs="Calibri"/>
        </w:rPr>
        <w:t xml:space="preserve">At the Amsterdam meeting of the ISBT haemovigilance working party (2013), a number of members requested revision of the TACO definition. Notably, strict application of the definition leads to non-acceptance of cases which would be accepted as TACO by clinicians and by some haemovigilance systems. </w:t>
      </w:r>
    </w:p>
    <w:p w14:paraId="345517F3" w14:textId="77777777" w:rsidR="005A6AF4" w:rsidRPr="00763BEE" w:rsidRDefault="005A6AF4" w:rsidP="005A6AF4">
      <w:pPr>
        <w:spacing w:line="240" w:lineRule="auto"/>
        <w:rPr>
          <w:rFonts w:cs="Calibri"/>
        </w:rPr>
      </w:pPr>
      <w:r w:rsidRPr="00763BEE">
        <w:rPr>
          <w:rFonts w:cs="Calibri"/>
        </w:rPr>
        <w:t>A first revised version was circulated in December 2014 and tested by contributors from haemovigilance systems in several countries and continents by applying it to their own cases. This definition was found to be more inclusive than the 2011 version but limited by the weight placed on enlargement of the cardiac silhouette and increase of BNP – both are often not investigated or not recorded in haemovigilance reports.</w:t>
      </w:r>
    </w:p>
    <w:p w14:paraId="3F849B38" w14:textId="77777777" w:rsidR="005A6AF4" w:rsidRPr="00763BEE" w:rsidRDefault="005A6AF4" w:rsidP="005A6AF4">
      <w:pPr>
        <w:spacing w:line="240" w:lineRule="auto"/>
        <w:rPr>
          <w:rFonts w:cs="Calibri"/>
        </w:rPr>
      </w:pPr>
      <w:r w:rsidRPr="00763BEE">
        <w:rPr>
          <w:rFonts w:cs="Calibri"/>
        </w:rPr>
        <w:t xml:space="preserve">The revision group recognises that the chief priority is to adopt standard reporting criteria which will enable professionals to raise awareness of TACO and lead to improved reporting, research and reduction of transfusion complications. The revision group includes representatives from AABB, and this opens possibilities for harmonisation. In future, the criteria may need to be adjusted in the light of accumulating evidence. </w:t>
      </w:r>
    </w:p>
    <w:p w14:paraId="5D439A4B" w14:textId="77777777" w:rsidR="005A6AF4" w:rsidRPr="00763BEE" w:rsidRDefault="005A6AF4" w:rsidP="005A6AF4">
      <w:pPr>
        <w:spacing w:line="240" w:lineRule="auto"/>
        <w:rPr>
          <w:rFonts w:cs="Calibri"/>
          <w:b/>
        </w:rPr>
      </w:pPr>
    </w:p>
    <w:p w14:paraId="05831F1E" w14:textId="77777777" w:rsidR="005A6AF4" w:rsidRPr="00763BEE" w:rsidRDefault="005A6AF4" w:rsidP="005A6AF4">
      <w:pPr>
        <w:spacing w:line="240" w:lineRule="auto"/>
        <w:ind w:left="6237" w:hanging="6237"/>
        <w:rPr>
          <w:rFonts w:cs="Calibri"/>
          <w:b/>
        </w:rPr>
      </w:pPr>
      <w:r w:rsidRPr="00763BEE">
        <w:rPr>
          <w:rFonts w:cs="Calibri"/>
          <w:b/>
        </w:rPr>
        <w:t xml:space="preserve">The revision group </w:t>
      </w:r>
      <w:r w:rsidRPr="00763BEE">
        <w:rPr>
          <w:rFonts w:cs="Calibri"/>
        </w:rPr>
        <w:t>(listed alphabetically)</w:t>
      </w:r>
    </w:p>
    <w:p w14:paraId="124D7CA5" w14:textId="77777777" w:rsidR="005A6AF4" w:rsidRPr="00763BEE" w:rsidRDefault="005A6AF4" w:rsidP="005A6AF4">
      <w:pPr>
        <w:autoSpaceDE w:val="0"/>
        <w:autoSpaceDN w:val="0"/>
        <w:adjustRightInd w:val="0"/>
        <w:spacing w:after="0" w:line="240" w:lineRule="auto"/>
        <w:rPr>
          <w:rFonts w:cs="Calibri"/>
        </w:rPr>
      </w:pPr>
      <w:r w:rsidRPr="00763BEE">
        <w:rPr>
          <w:rFonts w:cs="Calibri"/>
        </w:rPr>
        <w:t>Chester Andrzejewski, Paula Bolton-Maggs, Sharran Grey, Kevin Land, Harriet Lucero, Mark Popovsky, Philippe Renaudier, Pierre Robillard, Matilde Santos, Martin Schipperus, Dafydd Thomas, Barbee Whitaker, Johanna Wiersum-Osselton (convenor).</w:t>
      </w:r>
    </w:p>
    <w:p w14:paraId="41B38901" w14:textId="77777777" w:rsidR="005A6AF4" w:rsidRPr="00763BEE" w:rsidRDefault="005A6AF4" w:rsidP="005A6AF4">
      <w:pPr>
        <w:autoSpaceDE w:val="0"/>
        <w:autoSpaceDN w:val="0"/>
        <w:adjustRightInd w:val="0"/>
        <w:spacing w:after="0" w:line="240" w:lineRule="auto"/>
        <w:rPr>
          <w:rFonts w:cs="Calibri"/>
        </w:rPr>
      </w:pPr>
    </w:p>
    <w:p w14:paraId="2416EB1E" w14:textId="185A327A" w:rsidR="00E8136A" w:rsidRPr="00E8136A" w:rsidRDefault="00AF314C" w:rsidP="00E8136A">
      <w:pPr>
        <w:jc w:val="center"/>
        <w:rPr>
          <w:b/>
          <w:sz w:val="28"/>
          <w:szCs w:val="28"/>
        </w:rPr>
      </w:pPr>
      <w:r>
        <w:rPr>
          <w:rFonts w:cs="Calibri"/>
          <w:b/>
        </w:rPr>
        <w:br w:type="page"/>
      </w:r>
      <w:r w:rsidR="00E8136A" w:rsidRPr="00E8136A">
        <w:rPr>
          <w:b/>
          <w:sz w:val="28"/>
          <w:szCs w:val="28"/>
        </w:rPr>
        <w:lastRenderedPageBreak/>
        <w:t>Validation Protocol (Synopsis</w:t>
      </w:r>
      <w:r w:rsidR="00E8136A">
        <w:rPr>
          <w:b/>
          <w:sz w:val="28"/>
          <w:szCs w:val="28"/>
        </w:rPr>
        <w:t>; May 2017</w:t>
      </w:r>
      <w:r w:rsidR="00E8136A" w:rsidRPr="00E8136A">
        <w:rPr>
          <w:b/>
          <w:sz w:val="28"/>
          <w:szCs w:val="28"/>
        </w:rPr>
        <w:t>)</w:t>
      </w:r>
    </w:p>
    <w:p w14:paraId="68E3BC9C" w14:textId="30901F8B" w:rsidR="005A6154" w:rsidRDefault="005A6154" w:rsidP="00D31DE4">
      <w:pPr>
        <w:autoSpaceDE w:val="0"/>
        <w:autoSpaceDN w:val="0"/>
        <w:adjustRightInd w:val="0"/>
        <w:spacing w:after="0" w:line="240" w:lineRule="auto"/>
        <w:rPr>
          <w:rFonts w:cs="Calibri"/>
          <w:b/>
        </w:rPr>
      </w:pPr>
    </w:p>
    <w:p w14:paraId="68BE16B2" w14:textId="77777777" w:rsidR="00E8136A" w:rsidRPr="00FC4BCD" w:rsidRDefault="00E8136A" w:rsidP="00E8136A">
      <w:pPr>
        <w:jc w:val="center"/>
      </w:pPr>
      <w:r w:rsidRPr="00FC4BCD">
        <w:rPr>
          <w:b/>
          <w:bCs/>
        </w:rPr>
        <w:t>Abstract</w:t>
      </w:r>
    </w:p>
    <w:p w14:paraId="5926FD9F" w14:textId="77777777" w:rsidR="00E8136A" w:rsidRDefault="00E8136A" w:rsidP="00E8136A">
      <w:pPr>
        <w:jc w:val="both"/>
      </w:pPr>
      <w:r>
        <w:t>Harmonised and standardised surveillance case definitions of</w:t>
      </w:r>
      <w:r w:rsidRPr="00FC4BCD">
        <w:t xml:space="preserve"> </w:t>
      </w:r>
      <w:r>
        <w:t xml:space="preserve">adverse transfusion </w:t>
      </w:r>
      <w:r w:rsidRPr="00FC4BCD">
        <w:t xml:space="preserve"> reactions are</w:t>
      </w:r>
      <w:r>
        <w:t xml:space="preserve"> paramount for meaningful and accurate data reporting and analyses. On-going</w:t>
      </w:r>
      <w:r w:rsidRPr="00FC4BCD">
        <w:t xml:space="preserve"> </w:t>
      </w:r>
      <w:r>
        <w:t>review of these definitions is</w:t>
      </w:r>
      <w:r w:rsidRPr="00FC4BCD">
        <w:t xml:space="preserve"> necessary to ensure their </w:t>
      </w:r>
      <w:r>
        <w:t xml:space="preserve">continuing clinical </w:t>
      </w:r>
      <w:r w:rsidRPr="00FC4BCD">
        <w:t>validity</w:t>
      </w:r>
      <w:r>
        <w:t xml:space="preserve"> and applicability to haemotherapy monitoring and for enhancing patient safety</w:t>
      </w:r>
      <w:r w:rsidRPr="00FC4BCD">
        <w:t xml:space="preserve">. </w:t>
      </w:r>
      <w:r>
        <w:t xml:space="preserve">This protocol describes a two-stage validation study for evaluating a draft </w:t>
      </w:r>
      <w:r w:rsidRPr="00FC4BCD">
        <w:t>revis</w:t>
      </w:r>
      <w:r>
        <w:t>ion of the reporting criteria (definition) for surveillance purposes</w:t>
      </w:r>
      <w:r w:rsidRPr="00FC4BCD" w:rsidDel="003E765B">
        <w:t xml:space="preserve"> </w:t>
      </w:r>
      <w:r>
        <w:t xml:space="preserve">for </w:t>
      </w:r>
      <w:r w:rsidRPr="00EE5A14">
        <w:t>Transfusion-</w:t>
      </w:r>
      <w:r>
        <w:t>A</w:t>
      </w:r>
      <w:r w:rsidRPr="00EE5A14">
        <w:t xml:space="preserve">ssociated </w:t>
      </w:r>
      <w:r>
        <w:t>C</w:t>
      </w:r>
      <w:r w:rsidRPr="00EE5A14">
        <w:t xml:space="preserve">irculatory </w:t>
      </w:r>
      <w:r>
        <w:t>O</w:t>
      </w:r>
      <w:r w:rsidRPr="00EE5A14">
        <w:t>verload (TACO)</w:t>
      </w:r>
      <w:r>
        <w:t>. Phase I consists of</w:t>
      </w:r>
      <w:r w:rsidRPr="00FC4BCD">
        <w:t xml:space="preserve"> </w:t>
      </w:r>
      <w:r>
        <w:t xml:space="preserve">review of  the draft </w:t>
      </w:r>
      <w:r w:rsidRPr="00FC4BCD">
        <w:t>among</w:t>
      </w:r>
      <w:r>
        <w:t xml:space="preserve">  </w:t>
      </w:r>
      <w:r w:rsidRPr="00FC4BCD">
        <w:t xml:space="preserve">contributors from </w:t>
      </w:r>
      <w:r>
        <w:t xml:space="preserve">various </w:t>
      </w:r>
      <w:r w:rsidRPr="00FC4BCD">
        <w:t>haemovigilance systems in several countries and continents</w:t>
      </w:r>
      <w:r>
        <w:t xml:space="preserve"> with their subsequent testing of it</w:t>
      </w:r>
      <w:r w:rsidRPr="00FC4BCD">
        <w:t xml:space="preserve"> by applying it to cases</w:t>
      </w:r>
      <w:r>
        <w:t xml:space="preserve"> derived from their own institutions using a Working Party derived Evaluation Tool</w:t>
      </w:r>
      <w:r w:rsidRPr="00FC4BCD">
        <w:t xml:space="preserve">. </w:t>
      </w:r>
      <w:r>
        <w:t xml:space="preserve">In Phase II individuals will be solicited and asked to classify a set of case vignettes (descriptions) using the proposed draft criteria and the Evaluation Tool. The main objective of the study is to analyse </w:t>
      </w:r>
      <w:r w:rsidRPr="00FC4BCD">
        <w:t xml:space="preserve">the </w:t>
      </w:r>
      <w:r>
        <w:t xml:space="preserve">validity of the revised </w:t>
      </w:r>
      <w:r w:rsidRPr="00EE5A14">
        <w:t>TACO</w:t>
      </w:r>
      <w:r>
        <w:t xml:space="preserve"> reporting </w:t>
      </w:r>
      <w:r w:rsidRPr="00802BA4">
        <w:t xml:space="preserve">criteria (definition) for haemovigilance surveillance purposes. </w:t>
      </w:r>
    </w:p>
    <w:p w14:paraId="74E94A23" w14:textId="77777777" w:rsidR="00E8136A" w:rsidRDefault="00E8136A" w:rsidP="00E8136A">
      <w:pPr>
        <w:jc w:val="both"/>
      </w:pPr>
    </w:p>
    <w:p w14:paraId="637B4169" w14:textId="77777777" w:rsidR="00E8136A" w:rsidRPr="00FC4BCD" w:rsidRDefault="00E8136A" w:rsidP="00E8136A">
      <w:pPr>
        <w:pStyle w:val="Heading1"/>
      </w:pPr>
      <w:r w:rsidRPr="00FC4BCD">
        <w:t>Study Aims</w:t>
      </w:r>
    </w:p>
    <w:p w14:paraId="0A894BF0" w14:textId="77777777" w:rsidR="00E8136A" w:rsidRPr="00FC4BCD" w:rsidRDefault="00E8136A" w:rsidP="00E8136A"/>
    <w:p w14:paraId="5032F427" w14:textId="77777777" w:rsidR="00E8136A" w:rsidRPr="00FC4BCD" w:rsidRDefault="00E8136A" w:rsidP="00E8136A">
      <w:pPr>
        <w:ind w:left="1080"/>
      </w:pPr>
      <w:r w:rsidRPr="00FC4BCD">
        <w:t>Objectives of this study include:</w:t>
      </w:r>
    </w:p>
    <w:p w14:paraId="4DCD5E53" w14:textId="77777777" w:rsidR="00E8136A" w:rsidRPr="00FC4BCD" w:rsidRDefault="00E8136A" w:rsidP="00E8136A">
      <w:pPr>
        <w:ind w:left="1080"/>
      </w:pPr>
    </w:p>
    <w:p w14:paraId="5AA86E0B" w14:textId="77777777" w:rsidR="00E8136A" w:rsidRDefault="00E8136A" w:rsidP="00E8136A">
      <w:pPr>
        <w:numPr>
          <w:ilvl w:val="0"/>
          <w:numId w:val="22"/>
        </w:numPr>
        <w:spacing w:after="0" w:line="240" w:lineRule="auto"/>
      </w:pPr>
      <w:r w:rsidRPr="00FC4BCD">
        <w:t>To develop a database of pul</w:t>
      </w:r>
      <w:r>
        <w:t>monary transfusion reactions for definition validation purposes.</w:t>
      </w:r>
    </w:p>
    <w:p w14:paraId="0A927850" w14:textId="77777777" w:rsidR="00E8136A" w:rsidRDefault="00E8136A" w:rsidP="00E8136A">
      <w:pPr>
        <w:numPr>
          <w:ilvl w:val="0"/>
          <w:numId w:val="22"/>
        </w:numPr>
        <w:spacing w:after="0" w:line="240" w:lineRule="auto"/>
      </w:pPr>
      <w:r w:rsidRPr="009B0B8E">
        <w:t xml:space="preserve">To </w:t>
      </w:r>
      <w:r>
        <w:t xml:space="preserve">assess if the revised definition will </w:t>
      </w:r>
      <w:r w:rsidRPr="009B0B8E">
        <w:t xml:space="preserve">distinguish between </w:t>
      </w:r>
      <w:r>
        <w:t>TACO and o</w:t>
      </w:r>
      <w:r w:rsidRPr="009B0B8E">
        <w:t>the</w:t>
      </w:r>
      <w:r>
        <w:t>r</w:t>
      </w:r>
      <w:r w:rsidRPr="009B0B8E">
        <w:t xml:space="preserve"> acute </w:t>
      </w:r>
      <w:r>
        <w:t>pulmonary</w:t>
      </w:r>
      <w:r w:rsidRPr="009B0B8E">
        <w:t xml:space="preserve"> reactions</w:t>
      </w:r>
      <w:r>
        <w:t>,</w:t>
      </w:r>
      <w:r w:rsidRPr="009B0B8E">
        <w:t xml:space="preserve"> </w:t>
      </w:r>
      <w:r>
        <w:t xml:space="preserve">identify true TACO cases, and </w:t>
      </w:r>
      <w:r w:rsidRPr="00FC4BCD">
        <w:t xml:space="preserve">evaluate </w:t>
      </w:r>
      <w:r>
        <w:t xml:space="preserve">whether the revised definition will adequately define/classify </w:t>
      </w:r>
      <w:r w:rsidRPr="00FC4BCD">
        <w:t xml:space="preserve">clinical cases </w:t>
      </w:r>
      <w:r>
        <w:t xml:space="preserve">that were reported to national haemovigilance systems as TACO and accepted as TACO according to each system’s evaluation procedures. </w:t>
      </w:r>
    </w:p>
    <w:p w14:paraId="301E4026" w14:textId="77777777" w:rsidR="00E8136A" w:rsidRPr="00FC4BCD" w:rsidRDefault="00E8136A" w:rsidP="00E8136A">
      <w:pPr>
        <w:numPr>
          <w:ilvl w:val="0"/>
          <w:numId w:val="22"/>
        </w:numPr>
        <w:spacing w:after="0" w:line="240" w:lineRule="auto"/>
      </w:pPr>
      <w:r>
        <w:t xml:space="preserve">To incorporate the feedback obtained via case evaluations using and </w:t>
      </w:r>
      <w:r w:rsidRPr="00FC4BCD">
        <w:t xml:space="preserve"> </w:t>
      </w:r>
      <w:r>
        <w:t>assessing the</w:t>
      </w:r>
      <w:r w:rsidRPr="00FC4BCD">
        <w:t xml:space="preserve"> proposed </w:t>
      </w:r>
      <w:r>
        <w:t xml:space="preserve">TACO </w:t>
      </w:r>
      <w:r w:rsidRPr="00FC4BCD">
        <w:t>standard definition for surveillance of non-infectious pulmonary adverse transfusion reactions</w:t>
      </w:r>
      <w:r w:rsidRPr="00FC4BCD">
        <w:rPr>
          <w:vertAlign w:val="superscript"/>
        </w:rPr>
        <w:t>1</w:t>
      </w:r>
      <w:r>
        <w:rPr>
          <w:vertAlign w:val="superscript"/>
        </w:rPr>
        <w:t xml:space="preserve"> </w:t>
      </w:r>
      <w:r w:rsidRPr="00210160">
        <w:t>for clarity and applicability</w:t>
      </w:r>
      <w:r>
        <w:rPr>
          <w:vertAlign w:val="superscript"/>
        </w:rPr>
        <w:t xml:space="preserve"> </w:t>
      </w:r>
      <w:r>
        <w:t>by users from (inter)national haemovigilance systems.</w:t>
      </w:r>
      <w:r w:rsidRPr="00FC4BCD">
        <w:t xml:space="preserve"> </w:t>
      </w:r>
    </w:p>
    <w:p w14:paraId="138FB64B" w14:textId="77777777" w:rsidR="00E8136A" w:rsidRPr="00FC4BCD" w:rsidRDefault="00E8136A" w:rsidP="00E8136A">
      <w:pPr>
        <w:numPr>
          <w:ilvl w:val="0"/>
          <w:numId w:val="22"/>
        </w:numPr>
        <w:spacing w:after="0" w:line="240" w:lineRule="auto"/>
      </w:pPr>
      <w:r w:rsidRPr="00FC4BCD">
        <w:t>To recom</w:t>
      </w:r>
      <w:r>
        <w:t>mend changes to achieve harmonis</w:t>
      </w:r>
      <w:r w:rsidRPr="00FC4BCD">
        <w:t xml:space="preserve">ed adverse reaction definitions. </w:t>
      </w:r>
    </w:p>
    <w:p w14:paraId="0B510F7A" w14:textId="77777777" w:rsidR="00E8136A" w:rsidRPr="00FC4BCD" w:rsidRDefault="00E8136A" w:rsidP="00E8136A"/>
    <w:p w14:paraId="3FCB5F96" w14:textId="77777777" w:rsidR="00E8136A" w:rsidRPr="00FC4BCD" w:rsidRDefault="00E8136A" w:rsidP="00E8136A">
      <w:pPr>
        <w:numPr>
          <w:ilvl w:val="0"/>
          <w:numId w:val="21"/>
        </w:numPr>
        <w:spacing w:after="0" w:line="240" w:lineRule="auto"/>
      </w:pPr>
      <w:r w:rsidRPr="00FC4BCD">
        <w:rPr>
          <w:b/>
          <w:bCs/>
        </w:rPr>
        <w:t>Scope</w:t>
      </w:r>
      <w:r>
        <w:rPr>
          <w:b/>
          <w:bCs/>
        </w:rPr>
        <w:t xml:space="preserve"> and method</w:t>
      </w:r>
    </w:p>
    <w:p w14:paraId="781ED408" w14:textId="77777777" w:rsidR="00E8136A" w:rsidRPr="00FC4BCD" w:rsidRDefault="00E8136A" w:rsidP="00E8136A">
      <w:pPr>
        <w:ind w:left="1080"/>
        <w:rPr>
          <w:b/>
          <w:bCs/>
        </w:rPr>
      </w:pPr>
    </w:p>
    <w:p w14:paraId="51B92F3E" w14:textId="77777777" w:rsidR="00E8136A" w:rsidRDefault="00E8136A" w:rsidP="00E8136A">
      <w:pPr>
        <w:ind w:left="1080"/>
        <w:rPr>
          <w:bCs/>
        </w:rPr>
      </w:pPr>
      <w:r w:rsidRPr="00FC4BCD">
        <w:rPr>
          <w:bCs/>
        </w:rPr>
        <w:t xml:space="preserve">This validation study is conducted to test the </w:t>
      </w:r>
      <w:r>
        <w:rPr>
          <w:bCs/>
        </w:rPr>
        <w:t xml:space="preserve">validity of the </w:t>
      </w:r>
      <w:r w:rsidRPr="00FC4BCD">
        <w:rPr>
          <w:bCs/>
        </w:rPr>
        <w:t xml:space="preserve">proposed </w:t>
      </w:r>
      <w:r>
        <w:rPr>
          <w:bCs/>
        </w:rPr>
        <w:t xml:space="preserve">TACO surveillance </w:t>
      </w:r>
      <w:r w:rsidRPr="00FC4BCD">
        <w:rPr>
          <w:bCs/>
        </w:rPr>
        <w:t>definition</w:t>
      </w:r>
      <w:r>
        <w:rPr>
          <w:bCs/>
        </w:rPr>
        <w:t xml:space="preserve"> (reporting criteria)</w:t>
      </w:r>
      <w:r w:rsidRPr="00FC4BCD">
        <w:rPr>
          <w:bCs/>
        </w:rPr>
        <w:t xml:space="preserve">. </w:t>
      </w:r>
    </w:p>
    <w:p w14:paraId="48562C6C" w14:textId="77777777" w:rsidR="00E8136A" w:rsidRDefault="00E8136A" w:rsidP="00E8136A">
      <w:pPr>
        <w:ind w:left="1080"/>
        <w:rPr>
          <w:bCs/>
        </w:rPr>
      </w:pPr>
    </w:p>
    <w:p w14:paraId="2CF30F57" w14:textId="77777777" w:rsidR="00E8136A" w:rsidRDefault="00E8136A" w:rsidP="00E8136A">
      <w:pPr>
        <w:ind w:left="1080"/>
        <w:rPr>
          <w:bCs/>
        </w:rPr>
      </w:pPr>
      <w:r w:rsidRPr="00FC4BCD">
        <w:rPr>
          <w:bCs/>
        </w:rPr>
        <w:lastRenderedPageBreak/>
        <w:t xml:space="preserve">In Phase I, the </w:t>
      </w:r>
      <w:r>
        <w:rPr>
          <w:bCs/>
        </w:rPr>
        <w:t>participants will classify 10 clinical cases previously reported and endorsed  as TACO in their own system using the draft revised criteria for TACO. Additionally, 2 cases previously classified as TRALI, 2 cases previously classified as TAD and 1 unclassifiable pulmonary case will be assessed and classified using the ISBT revised criteria</w:t>
      </w:r>
      <w:r w:rsidRPr="00FC4BCD">
        <w:rPr>
          <w:bCs/>
          <w:vertAlign w:val="superscript"/>
        </w:rPr>
        <w:t>1</w:t>
      </w:r>
      <w:r>
        <w:rPr>
          <w:bCs/>
        </w:rPr>
        <w:t xml:space="preserve">. </w:t>
      </w:r>
    </w:p>
    <w:p w14:paraId="03A049DC" w14:textId="77777777" w:rsidR="00E8136A" w:rsidRDefault="00E8136A" w:rsidP="00E8136A">
      <w:pPr>
        <w:ind w:left="1080"/>
        <w:rPr>
          <w:bCs/>
        </w:rPr>
      </w:pPr>
    </w:p>
    <w:p w14:paraId="373E3AD0" w14:textId="77777777" w:rsidR="00E8136A" w:rsidRDefault="00E8136A" w:rsidP="00E8136A">
      <w:pPr>
        <w:ind w:left="1080"/>
        <w:rPr>
          <w:bCs/>
        </w:rPr>
      </w:pPr>
      <w:r w:rsidRPr="0011359E">
        <w:rPr>
          <w:bCs/>
        </w:rPr>
        <w:t xml:space="preserve">In Phase II, 26 </w:t>
      </w:r>
      <w:r w:rsidRPr="0011359E">
        <w:t>real life acute pulmonary transfusion reaction case vignettes will be</w:t>
      </w:r>
      <w:r>
        <w:t xml:space="preserve"> distributed, participants will classify these cases as TACO (or not TACO) independently.</w:t>
      </w:r>
    </w:p>
    <w:p w14:paraId="696318BF" w14:textId="77777777" w:rsidR="00E8136A" w:rsidRDefault="00E8136A" w:rsidP="00E8136A">
      <w:pPr>
        <w:ind w:left="1080"/>
        <w:rPr>
          <w:bCs/>
        </w:rPr>
      </w:pPr>
    </w:p>
    <w:p w14:paraId="19B959C4" w14:textId="77777777" w:rsidR="00E8136A" w:rsidRDefault="00E8136A" w:rsidP="00E8136A">
      <w:pPr>
        <w:ind w:left="1080"/>
        <w:rPr>
          <w:bCs/>
        </w:rPr>
      </w:pPr>
      <w:r>
        <w:t>This validation study will be conducted in the setting of haemovigilance surveillance systems. It is important to note that the</w:t>
      </w:r>
      <w:r w:rsidRPr="00FC4BCD">
        <w:t xml:space="preserve"> criteria establish a surveillance definition based on a complete description of an event, including information that becomes available well after </w:t>
      </w:r>
      <w:r>
        <w:t xml:space="preserve">suspected reaction </w:t>
      </w:r>
      <w:r w:rsidRPr="00FC4BCD">
        <w:t>onset</w:t>
      </w:r>
      <w:r>
        <w:t xml:space="preserve"> and extending into the post transfusion period. </w:t>
      </w:r>
      <w:r w:rsidRPr="00FC4BCD">
        <w:t xml:space="preserve">The criteria do not constitute </w:t>
      </w:r>
      <w:r>
        <w:t xml:space="preserve">a </w:t>
      </w:r>
      <w:r w:rsidRPr="00FC4BCD">
        <w:t>clinical diagnosis for the purpose of real-time clinical interventions.</w:t>
      </w:r>
      <w:r>
        <w:t xml:space="preserve"> </w:t>
      </w:r>
    </w:p>
    <w:p w14:paraId="76B569C6" w14:textId="77777777" w:rsidR="00E8136A" w:rsidRPr="00FC4BCD" w:rsidRDefault="00E8136A" w:rsidP="00E8136A">
      <w:pPr>
        <w:ind w:left="1080" w:firstLine="360"/>
      </w:pPr>
    </w:p>
    <w:p w14:paraId="28A7CC43" w14:textId="77777777" w:rsidR="00E8136A" w:rsidRPr="00FC4BCD" w:rsidRDefault="00E8136A" w:rsidP="00E8136A">
      <w:pPr>
        <w:pStyle w:val="Heading1"/>
      </w:pPr>
      <w:r w:rsidRPr="00FC4BCD">
        <w:t>Analysis Plan</w:t>
      </w:r>
    </w:p>
    <w:p w14:paraId="4853FF6E" w14:textId="77777777" w:rsidR="00E8136A" w:rsidRPr="00FC4BCD" w:rsidRDefault="00E8136A" w:rsidP="00E8136A">
      <w:pPr>
        <w:ind w:left="1080"/>
      </w:pPr>
    </w:p>
    <w:p w14:paraId="597AF7AD" w14:textId="77777777" w:rsidR="00E8136A" w:rsidRPr="00FC4BCD" w:rsidRDefault="00E8136A" w:rsidP="00E8136A">
      <w:pPr>
        <w:pStyle w:val="ListParagraph"/>
        <w:numPr>
          <w:ilvl w:val="0"/>
          <w:numId w:val="23"/>
        </w:numPr>
        <w:spacing w:after="160" w:line="259" w:lineRule="auto"/>
        <w:rPr>
          <w:rFonts w:ascii="Times New Roman" w:hAnsi="Times New Roman"/>
          <w:sz w:val="24"/>
          <w:szCs w:val="24"/>
        </w:rPr>
      </w:pPr>
      <w:r w:rsidRPr="00FC4BCD">
        <w:rPr>
          <w:rFonts w:ascii="Times New Roman" w:hAnsi="Times New Roman"/>
          <w:sz w:val="24"/>
          <w:szCs w:val="24"/>
        </w:rPr>
        <w:t>Phase I</w:t>
      </w:r>
    </w:p>
    <w:p w14:paraId="5D7C8415" w14:textId="0524057D" w:rsidR="00E8136A" w:rsidRDefault="00E8136A" w:rsidP="00E8136A">
      <w:pPr>
        <w:ind w:left="1170"/>
      </w:pPr>
      <w:r>
        <w:t xml:space="preserve">The revised TACO reporting criteria will be provided to the participating </w:t>
      </w:r>
      <w:r w:rsidRPr="008E55CB">
        <w:t>HV</w:t>
      </w:r>
      <w:r>
        <w:t xml:space="preserve"> systems throughout the world. Participants </w:t>
      </w:r>
      <w:r w:rsidRPr="008E55CB">
        <w:t>will be asked to</w:t>
      </w:r>
      <w:r>
        <w:t xml:space="preserve"> reclassify 10 </w:t>
      </w:r>
      <w:r w:rsidRPr="008E55CB">
        <w:t xml:space="preserve">cases of TACO, </w:t>
      </w:r>
      <w:r>
        <w:t xml:space="preserve">2 </w:t>
      </w:r>
      <w:r w:rsidRPr="008E55CB">
        <w:t xml:space="preserve">case of TRALI, </w:t>
      </w:r>
      <w:r>
        <w:t xml:space="preserve">2 cases of </w:t>
      </w:r>
      <w:r w:rsidRPr="008E55CB">
        <w:t xml:space="preserve">TAD and another unclassified case with significant </w:t>
      </w:r>
      <w:r>
        <w:t xml:space="preserve">pulmonary </w:t>
      </w:r>
      <w:r w:rsidRPr="008E55CB">
        <w:t>features from reports wi</w:t>
      </w:r>
      <w:r>
        <w:t xml:space="preserve">thin their haemovigilance system, based on the revised definition for TACO and current </w:t>
      </w:r>
      <w:r w:rsidRPr="008E55CB">
        <w:t xml:space="preserve">ISBT definitions for </w:t>
      </w:r>
      <w:r>
        <w:t xml:space="preserve">other </w:t>
      </w:r>
      <w:r w:rsidRPr="008E55CB">
        <w:t>adverse transfusion reactions</w:t>
      </w:r>
      <w:r>
        <w:t>. The level of a</w:t>
      </w:r>
      <w:r w:rsidRPr="008E55CB">
        <w:t>greement between the</w:t>
      </w:r>
      <w:r>
        <w:t>ir</w:t>
      </w:r>
      <w:r w:rsidRPr="008E55CB">
        <w:t xml:space="preserve"> system classification</w:t>
      </w:r>
      <w:r>
        <w:t xml:space="preserve"> and reclassification based on revised definition</w:t>
      </w:r>
      <w:r w:rsidR="000D4382">
        <w:t xml:space="preserve">, and </w:t>
      </w:r>
      <w:r>
        <w:t xml:space="preserve"> sensitivity of the TACO criteria to recognise cases accepted by haemovigilance systems as TACO</w:t>
      </w:r>
      <w:r w:rsidR="000D4382">
        <w:t xml:space="preserve"> will be analysed</w:t>
      </w:r>
      <w:r>
        <w:t xml:space="preserve">. </w:t>
      </w:r>
      <w:r w:rsidRPr="008E55CB">
        <w:t>The result will measure how well the revised definition will accurately classify TACO cases</w:t>
      </w:r>
      <w:r>
        <w:t xml:space="preserve">. The participants will have the option to </w:t>
      </w:r>
      <w:r w:rsidRPr="002D4DC7">
        <w:t>submit the actual case reports for consideration for use in Phase II.</w:t>
      </w:r>
    </w:p>
    <w:p w14:paraId="0CE40A79" w14:textId="77777777" w:rsidR="00E8136A" w:rsidRPr="00FC4BCD" w:rsidRDefault="00E8136A" w:rsidP="00E8136A">
      <w:pPr>
        <w:ind w:left="1170"/>
      </w:pPr>
      <w:bookmarkStart w:id="0" w:name="_GoBack"/>
      <w:bookmarkEnd w:id="0"/>
    </w:p>
    <w:p w14:paraId="23728C91" w14:textId="77777777" w:rsidR="00E8136A" w:rsidRPr="00FC4BCD" w:rsidRDefault="00E8136A" w:rsidP="00E8136A">
      <w:pPr>
        <w:pStyle w:val="ListParagraph"/>
        <w:numPr>
          <w:ilvl w:val="0"/>
          <w:numId w:val="23"/>
        </w:numPr>
        <w:spacing w:after="160" w:line="259" w:lineRule="auto"/>
        <w:rPr>
          <w:rFonts w:ascii="Times New Roman" w:hAnsi="Times New Roman"/>
          <w:sz w:val="24"/>
          <w:szCs w:val="24"/>
        </w:rPr>
      </w:pPr>
      <w:r w:rsidRPr="00FC4BCD">
        <w:rPr>
          <w:rFonts w:ascii="Times New Roman" w:hAnsi="Times New Roman"/>
          <w:sz w:val="24"/>
          <w:szCs w:val="24"/>
        </w:rPr>
        <w:t>Phase II</w:t>
      </w:r>
    </w:p>
    <w:p w14:paraId="7C874A86" w14:textId="77777777" w:rsidR="00E8136A" w:rsidRDefault="00E8136A" w:rsidP="00E8136A">
      <w:pPr>
        <w:ind w:left="1080"/>
      </w:pPr>
      <w:r>
        <w:t>From the bank of cases</w:t>
      </w:r>
      <w:r w:rsidRPr="004D610F">
        <w:t xml:space="preserve">, </w:t>
      </w:r>
      <w:r>
        <w:t xml:space="preserve">26 </w:t>
      </w:r>
      <w:r w:rsidRPr="004D610F">
        <w:t>cases</w:t>
      </w:r>
      <w:r>
        <w:t xml:space="preserve"> will be selected with proportional distribution of </w:t>
      </w:r>
      <w:r w:rsidRPr="002762C8">
        <w:t>pulm</w:t>
      </w:r>
      <w:r>
        <w:t>onary adverse reaction categories based on data from several haemovigilance systems</w:t>
      </w:r>
      <w:r w:rsidRPr="008D4031">
        <w:rPr>
          <w:vertAlign w:val="superscript"/>
        </w:rPr>
        <w:t>2-5</w:t>
      </w:r>
      <w:r>
        <w:t>. Participants will be provided with the cases and asked to complete the assessment form. The results will be represented by histograms and cross tabulation tables. The agreement level between participants and experts can be measured by Cohen’s kappa coefficient. Participants’ comments will be reviewed by the revision group to assess whether these indicate need for clarification of items in the reporting criteria.</w:t>
      </w:r>
    </w:p>
    <w:p w14:paraId="6D42EB31" w14:textId="77777777" w:rsidR="00E8136A" w:rsidRDefault="00E8136A" w:rsidP="00E8136A">
      <w:pPr>
        <w:ind w:left="1080"/>
      </w:pPr>
    </w:p>
    <w:p w14:paraId="3B45A206" w14:textId="77777777" w:rsidR="00E8136A" w:rsidRDefault="00E8136A" w:rsidP="00E8136A">
      <w:pPr>
        <w:ind w:left="1080"/>
      </w:pPr>
      <w:r>
        <w:t xml:space="preserve">These results will provide a synopsis on the effectiveness and accuracy of the definitions and its ability to </w:t>
      </w:r>
      <w:r w:rsidRPr="009B0B8E">
        <w:t xml:space="preserve">distinguish between </w:t>
      </w:r>
      <w:r>
        <w:t>TACO and o</w:t>
      </w:r>
      <w:r w:rsidRPr="009B0B8E">
        <w:t>the</w:t>
      </w:r>
      <w:r>
        <w:t>r</w:t>
      </w:r>
      <w:r w:rsidRPr="009B0B8E">
        <w:t xml:space="preserve"> acute </w:t>
      </w:r>
      <w:r>
        <w:t>pulmonary</w:t>
      </w:r>
      <w:r w:rsidRPr="009B0B8E">
        <w:t xml:space="preserve"> reactions</w:t>
      </w:r>
    </w:p>
    <w:p w14:paraId="79659751" w14:textId="77777777" w:rsidR="00E8136A" w:rsidRDefault="00E8136A" w:rsidP="00E8136A">
      <w:pPr>
        <w:ind w:left="1080"/>
      </w:pPr>
    </w:p>
    <w:p w14:paraId="496B0825" w14:textId="77777777" w:rsidR="00E8136A" w:rsidRDefault="00E8136A" w:rsidP="00E8136A">
      <w:pPr>
        <w:ind w:left="1080"/>
      </w:pPr>
      <w:r>
        <w:t>P</w:t>
      </w:r>
      <w:r w:rsidRPr="00480020">
        <w:t>articipants will be acknowledged in the presentations arising from this work</w:t>
      </w:r>
      <w:r>
        <w:t xml:space="preserve">. It is </w:t>
      </w:r>
      <w:r w:rsidRPr="00480020">
        <w:t>the intention is to submit a manuscript for pu</w:t>
      </w:r>
      <w:r>
        <w:t>blication based on the activity.</w:t>
      </w:r>
    </w:p>
    <w:p w14:paraId="2A2447BD" w14:textId="77777777" w:rsidR="00E8136A" w:rsidRPr="00FC4BCD" w:rsidRDefault="00E8136A" w:rsidP="00E8136A">
      <w:pPr>
        <w:ind w:left="1080" w:firstLine="360"/>
      </w:pPr>
    </w:p>
    <w:p w14:paraId="4CE0DE66" w14:textId="77777777" w:rsidR="00E8136A" w:rsidRPr="00FC4BCD" w:rsidRDefault="00E8136A" w:rsidP="00E8136A">
      <w:pPr>
        <w:pStyle w:val="Heading1"/>
      </w:pPr>
      <w:r>
        <w:t>Literature</w:t>
      </w:r>
    </w:p>
    <w:p w14:paraId="69C0C67E" w14:textId="77777777" w:rsidR="00E8136A" w:rsidRPr="00FC4BCD" w:rsidRDefault="00E8136A" w:rsidP="00E8136A"/>
    <w:p w14:paraId="238BCF01" w14:textId="77777777" w:rsidR="00E8136A" w:rsidRPr="00FC4BCD" w:rsidRDefault="00E8136A" w:rsidP="00E8136A">
      <w:pPr>
        <w:pStyle w:val="ListParagraph"/>
        <w:numPr>
          <w:ilvl w:val="3"/>
          <w:numId w:val="21"/>
        </w:numPr>
        <w:spacing w:after="160" w:line="259" w:lineRule="auto"/>
        <w:ind w:left="630" w:hanging="270"/>
        <w:rPr>
          <w:rFonts w:ascii="Times New Roman" w:hAnsi="Times New Roman"/>
          <w:sz w:val="24"/>
          <w:szCs w:val="24"/>
        </w:rPr>
      </w:pPr>
      <w:r w:rsidRPr="00FC4BCD">
        <w:rPr>
          <w:rFonts w:ascii="Times New Roman" w:hAnsi="Times New Roman"/>
          <w:sz w:val="24"/>
          <w:szCs w:val="24"/>
        </w:rPr>
        <w:t>ISBT,</w:t>
      </w:r>
      <w:hyperlink r:id="rId13" w:history="1">
        <w:r w:rsidRPr="00FC4BCD">
          <w:rPr>
            <w:rStyle w:val="Hyperlink"/>
            <w:rFonts w:ascii="Times New Roman" w:hAnsi="Times New Roman"/>
            <w:sz w:val="24"/>
            <w:szCs w:val="24"/>
          </w:rPr>
          <w:t>http://www.isbtweb.org/fileadmin/user_upload/Proposed_definitions_2011_surveillance_non_infectious_adverse_reactions_haemovigilance_incl_TRALI_correction_2013.pdf</w:t>
        </w:r>
      </w:hyperlink>
      <w:r w:rsidRPr="00FC4BCD">
        <w:rPr>
          <w:rFonts w:ascii="Times New Roman" w:hAnsi="Times New Roman"/>
          <w:sz w:val="24"/>
          <w:szCs w:val="24"/>
        </w:rPr>
        <w:t xml:space="preserve"> </w:t>
      </w:r>
    </w:p>
    <w:p w14:paraId="45911D2C" w14:textId="77777777" w:rsidR="00E8136A" w:rsidRDefault="00E8136A" w:rsidP="00E8136A">
      <w:pPr>
        <w:spacing w:after="160" w:line="259" w:lineRule="auto"/>
        <w:ind w:left="629" w:hanging="272"/>
      </w:pPr>
      <w:r>
        <w:t xml:space="preserve">2. </w:t>
      </w:r>
      <w:r w:rsidRPr="002E25A6">
        <w:t xml:space="preserve">Harvey AR, Basavaraju SV, Chung KW, Kuehnert MJ. Transfusion-related adverse </w:t>
      </w:r>
      <w:r>
        <w:t xml:space="preserve"> </w:t>
      </w:r>
      <w:r w:rsidRPr="002E25A6">
        <w:t>reactions reported to the National Healthcare Safety Network Hemovigilance Module, United States, 2010-2012. Transfusion. 2015; 55: 709-718.</w:t>
      </w:r>
    </w:p>
    <w:p w14:paraId="6B190995" w14:textId="77777777" w:rsidR="00E8136A" w:rsidRDefault="00E8136A" w:rsidP="00E8136A">
      <w:pPr>
        <w:spacing w:after="160" w:line="259" w:lineRule="auto"/>
        <w:ind w:left="629" w:hanging="272"/>
      </w:pPr>
      <w:r>
        <w:t xml:space="preserve">3. Politis C, Wiersum JC, Richardson C, Robillard P, Jorgensen J, Renaudier P, Faber J-C, Wood E. The International Haemovigilance Network Database for the Surveillance of Adverse Reactions and Events in Donors and Recipients of Blood Components: technical issues and results. Vox Sanguinis 2016 </w:t>
      </w:r>
      <w:r w:rsidRPr="00357505">
        <w:t>111(4):409-417</w:t>
      </w:r>
      <w:r>
        <w:t>; DOI 10.1111/Vox.12447</w:t>
      </w:r>
    </w:p>
    <w:p w14:paraId="3A9188D9" w14:textId="77777777" w:rsidR="00E8136A" w:rsidRDefault="00E8136A" w:rsidP="00E8136A">
      <w:pPr>
        <w:spacing w:after="160" w:line="259" w:lineRule="auto"/>
        <w:ind w:left="629" w:hanging="272"/>
      </w:pPr>
      <w:r>
        <w:t xml:space="preserve">4. </w:t>
      </w:r>
      <w:r w:rsidRPr="00AE1C82">
        <w:t>PHB Bolton-Maggs (Ed) D Poles et al. on behalf of the Serious Hazards of Transfusion (SHOT) Steering Group. The 2015</w:t>
      </w:r>
      <w:r>
        <w:t xml:space="preserve"> </w:t>
      </w:r>
      <w:r w:rsidRPr="00AE1C82">
        <w:t>Annual SHOT Report (2016).</w:t>
      </w:r>
      <w:r>
        <w:t xml:space="preserve"> </w:t>
      </w:r>
      <w:hyperlink r:id="rId14" w:history="1">
        <w:r w:rsidRPr="0074005C">
          <w:rPr>
            <w:rStyle w:val="Hyperlink"/>
          </w:rPr>
          <w:t>https://www.shotuk.org/wp-content/uploads/SHOT-2015-Annual-Report-Web-Edition-Final-bookmarked-1.pdf</w:t>
        </w:r>
      </w:hyperlink>
    </w:p>
    <w:p w14:paraId="7C3BC013" w14:textId="77777777" w:rsidR="00E8136A" w:rsidRPr="00FC4BCD" w:rsidRDefault="00E8136A" w:rsidP="00E8136A">
      <w:pPr>
        <w:spacing w:after="160" w:line="259" w:lineRule="auto"/>
        <w:ind w:left="629" w:hanging="272"/>
      </w:pPr>
      <w:r>
        <w:t>5. TRIP 2015 Annual Hemovigilance Report, Extended Version (2016), www.tripnet.nl</w:t>
      </w:r>
    </w:p>
    <w:p w14:paraId="34CE2557" w14:textId="77777777" w:rsidR="00E8136A" w:rsidRPr="00802BA4" w:rsidRDefault="00E8136A" w:rsidP="00E8136A">
      <w:pPr>
        <w:jc w:val="both"/>
      </w:pPr>
    </w:p>
    <w:p w14:paraId="04A92A08" w14:textId="77777777" w:rsidR="00E8136A" w:rsidRPr="00763BEE" w:rsidRDefault="00E8136A" w:rsidP="00D31DE4">
      <w:pPr>
        <w:autoSpaceDE w:val="0"/>
        <w:autoSpaceDN w:val="0"/>
        <w:adjustRightInd w:val="0"/>
        <w:spacing w:after="0" w:line="240" w:lineRule="auto"/>
        <w:rPr>
          <w:rFonts w:cs="Calibri"/>
          <w:b/>
        </w:rPr>
      </w:pPr>
    </w:p>
    <w:sectPr w:rsidR="00E8136A" w:rsidRPr="00763BEE" w:rsidSect="005A6AF4">
      <w:headerReference w:type="even" r:id="rId15"/>
      <w:headerReference w:type="default" r:id="rId16"/>
      <w:footerReference w:type="default" r:id="rId17"/>
      <w:headerReference w:type="first" r:id="rId18"/>
      <w:pgSz w:w="11906" w:h="16838"/>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44819" w14:textId="77777777" w:rsidR="00C01D1C" w:rsidRDefault="00C01D1C" w:rsidP="0011695A">
      <w:pPr>
        <w:spacing w:after="0" w:line="240" w:lineRule="auto"/>
      </w:pPr>
      <w:r>
        <w:separator/>
      </w:r>
    </w:p>
  </w:endnote>
  <w:endnote w:type="continuationSeparator" w:id="0">
    <w:p w14:paraId="64F87232" w14:textId="77777777" w:rsidR="00C01D1C" w:rsidRDefault="00C01D1C" w:rsidP="0011695A">
      <w:pPr>
        <w:spacing w:after="0" w:line="240" w:lineRule="auto"/>
      </w:pPr>
      <w:r>
        <w:continuationSeparator/>
      </w:r>
    </w:p>
  </w:endnote>
  <w:endnote w:type="continuationNotice" w:id="1">
    <w:p w14:paraId="3D4B5D7C" w14:textId="77777777" w:rsidR="00C01D1C" w:rsidRDefault="00C01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5289" w14:textId="03077ED5" w:rsidR="005A6154" w:rsidRDefault="005A6154" w:rsidP="00915D51">
    <w:pPr>
      <w:pStyle w:val="Footer"/>
      <w:tabs>
        <w:tab w:val="clear" w:pos="4536"/>
        <w:tab w:val="clear" w:pos="9072"/>
        <w:tab w:val="center" w:pos="4820"/>
        <w:tab w:val="left" w:pos="7513"/>
        <w:tab w:val="right" w:pos="10632"/>
      </w:tabs>
      <w:spacing w:after="0"/>
      <w:ind w:right="1701"/>
    </w:pPr>
    <w:r>
      <w:rPr>
        <w:lang w:val="nl-NL"/>
      </w:rPr>
      <w:t xml:space="preserve">Respiratory transfusion complications </w:t>
    </w:r>
    <w:r w:rsidR="00A77DEF">
      <w:rPr>
        <w:lang w:val="nl-NL"/>
      </w:rPr>
      <w:t xml:space="preserve">summary </w:t>
    </w:r>
    <w:r w:rsidR="00A77DEF">
      <w:rPr>
        <w:lang w:val="nl-NL"/>
      </w:rPr>
      <w:tab/>
    </w:r>
    <w:r w:rsidR="00A77DEF" w:rsidRPr="00A77DEF">
      <w:rPr>
        <w:lang w:val="nl-NL"/>
      </w:rPr>
      <w:fldChar w:fldCharType="begin"/>
    </w:r>
    <w:r w:rsidR="00A77DEF" w:rsidRPr="00A77DEF">
      <w:rPr>
        <w:lang w:val="nl-NL"/>
      </w:rPr>
      <w:instrText>PAGE   \* MERGEFORMAT</w:instrText>
    </w:r>
    <w:r w:rsidR="00A77DEF" w:rsidRPr="00A77DEF">
      <w:rPr>
        <w:lang w:val="nl-NL"/>
      </w:rPr>
      <w:fldChar w:fldCharType="separate"/>
    </w:r>
    <w:r w:rsidR="000D4382">
      <w:rPr>
        <w:noProof/>
        <w:lang w:val="nl-NL"/>
      </w:rPr>
      <w:t>1</w:t>
    </w:r>
    <w:r w:rsidR="00A77DEF" w:rsidRPr="00A77DEF">
      <w:rPr>
        <w:lang w:val="nl-NL"/>
      </w:rPr>
      <w:fldChar w:fldCharType="end"/>
    </w:r>
    <w:r>
      <w:tab/>
    </w:r>
    <w:r>
      <w:rPr>
        <w:lang w:val="nl-NL"/>
      </w:rPr>
      <w:t>Autumn 2017</w:t>
    </w:r>
  </w:p>
  <w:p w14:paraId="56243B65" w14:textId="5EF89ED2" w:rsidR="005A6154" w:rsidRPr="00915D51" w:rsidRDefault="005A6154" w:rsidP="00915D51">
    <w:pPr>
      <w:pStyle w:val="Footer"/>
      <w:tabs>
        <w:tab w:val="clear" w:pos="4536"/>
        <w:tab w:val="clear" w:pos="9072"/>
        <w:tab w:val="center" w:pos="4820"/>
        <w:tab w:val="left" w:pos="7513"/>
        <w:tab w:val="right" w:pos="10632"/>
      </w:tabs>
      <w:spacing w:after="0"/>
      <w:ind w:right="1701"/>
      <w:rPr>
        <w:lang w:val="nl-NL"/>
      </w:rPr>
    </w:pPr>
    <w:r>
      <w:t>IHN/ISBT haemovigilance working party</w:t>
    </w:r>
    <w:r>
      <w:rPr>
        <w:lang w:val="nl-NL"/>
      </w:rPr>
      <w:t>/AABB</w:t>
    </w:r>
  </w:p>
  <w:p w14:paraId="1A2F0974" w14:textId="77777777" w:rsidR="005A6154" w:rsidRPr="00915D51" w:rsidRDefault="005A6154" w:rsidP="00915D51">
    <w:pPr>
      <w:pStyle w:val="Footer"/>
      <w:tabs>
        <w:tab w:val="clear" w:pos="4536"/>
        <w:tab w:val="clear" w:pos="9072"/>
        <w:tab w:val="center" w:pos="4820"/>
        <w:tab w:val="left" w:pos="7513"/>
        <w:tab w:val="right" w:pos="10632"/>
      </w:tabs>
      <w:spacing w:after="0"/>
      <w:ind w:right="1701"/>
    </w:pPr>
  </w:p>
  <w:p w14:paraId="198A6EED" w14:textId="77777777" w:rsidR="005A6154" w:rsidRPr="00915D51" w:rsidRDefault="005A6154" w:rsidP="00915D51">
    <w:pPr>
      <w:pStyle w:val="Footer"/>
      <w:tabs>
        <w:tab w:val="clear" w:pos="4536"/>
        <w:tab w:val="clear" w:pos="9072"/>
        <w:tab w:val="center" w:pos="4820"/>
        <w:tab w:val="left" w:pos="7513"/>
        <w:tab w:val="right" w:pos="10632"/>
      </w:tabs>
      <w:spacing w:after="0"/>
      <w:ind w:righ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B18D" w14:textId="77777777" w:rsidR="00C01D1C" w:rsidRDefault="00C01D1C" w:rsidP="0011695A">
      <w:pPr>
        <w:spacing w:after="0" w:line="240" w:lineRule="auto"/>
      </w:pPr>
      <w:r>
        <w:separator/>
      </w:r>
    </w:p>
  </w:footnote>
  <w:footnote w:type="continuationSeparator" w:id="0">
    <w:p w14:paraId="27DE6C17" w14:textId="77777777" w:rsidR="00C01D1C" w:rsidRDefault="00C01D1C" w:rsidP="0011695A">
      <w:pPr>
        <w:spacing w:after="0" w:line="240" w:lineRule="auto"/>
      </w:pPr>
      <w:r>
        <w:continuationSeparator/>
      </w:r>
    </w:p>
  </w:footnote>
  <w:footnote w:type="continuationNotice" w:id="1">
    <w:p w14:paraId="6F4B3E80" w14:textId="77777777" w:rsidR="00C01D1C" w:rsidRDefault="00C01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4991" w14:textId="3FA45A1D" w:rsidR="005A6154" w:rsidRDefault="00C01D1C">
    <w:pPr>
      <w:pStyle w:val="Header"/>
    </w:pPr>
    <w:r>
      <w:rPr>
        <w:noProof/>
      </w:rPr>
      <w:pict w14:anchorId="27ECB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95813" o:spid="_x0000_s2050" type="#_x0000_t136" style="position:absolute;margin-left:0;margin-top:0;width:519.6pt;height:119.9pt;rotation:315;z-index:-251655168;mso-position-horizontal:center;mso-position-horizontal-relative:margin;mso-position-vertical:center;mso-position-vertical-relative:margin" o:allowincell="f" fillcolor="silver" stroked="f">
          <v:fill opacity=".5"/>
          <v:textpath style="font-family:&quot;Calibri&quot;;font-size:1pt" string="Validation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7AD7" w14:textId="588E69D4" w:rsidR="005A6154" w:rsidRDefault="00C01D1C">
    <w:pPr>
      <w:pStyle w:val="Header"/>
    </w:pPr>
    <w:r>
      <w:rPr>
        <w:noProof/>
      </w:rPr>
      <w:pict w14:anchorId="733F2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95814" o:spid="_x0000_s2051" type="#_x0000_t136" style="position:absolute;margin-left:0;margin-top:0;width:519.6pt;height:119.9pt;rotation:315;z-index:-251653120;mso-position-horizontal:center;mso-position-horizontal-relative:margin;mso-position-vertical:center;mso-position-vertical-relative:margin" o:allowincell="f" fillcolor="silver" stroked="f">
          <v:fill opacity=".5"/>
          <v:textpath style="font-family:&quot;Calibri&quot;;font-size:1pt" string="Validation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160D6" w14:textId="5CAC64AA" w:rsidR="005A6154" w:rsidRDefault="00C01D1C">
    <w:pPr>
      <w:pStyle w:val="Header"/>
    </w:pPr>
    <w:r>
      <w:rPr>
        <w:noProof/>
      </w:rPr>
      <w:pict w14:anchorId="39C52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95812" o:spid="_x0000_s2049" type="#_x0000_t136" style="position:absolute;margin-left:0;margin-top:0;width:519.6pt;height:119.9pt;rotation:315;z-index:-251657216;mso-position-horizontal:center;mso-position-horizontal-relative:margin;mso-position-vertical:center;mso-position-vertical-relative:margin" o:allowincell="f" fillcolor="silver" stroked="f">
          <v:fill opacity=".5"/>
          <v:textpath style="font-family:&quot;Calibri&quot;;font-size:1pt" string="Validation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B2B"/>
    <w:multiLevelType w:val="hybridMultilevel"/>
    <w:tmpl w:val="F53CB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4A6873"/>
    <w:multiLevelType w:val="hybridMultilevel"/>
    <w:tmpl w:val="2B7C9150"/>
    <w:lvl w:ilvl="0" w:tplc="2D9886BA">
      <w:start w:val="1"/>
      <w:numFmt w:val="decimal"/>
      <w:lvlText w:val="%1."/>
      <w:lvlJc w:val="left"/>
      <w:pPr>
        <w:ind w:left="720" w:hanging="360"/>
      </w:pPr>
      <w:rPr>
        <w:rFonts w:eastAsia="Calibri"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651BC"/>
    <w:multiLevelType w:val="hybridMultilevel"/>
    <w:tmpl w:val="C632F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DA37F6"/>
    <w:multiLevelType w:val="hybridMultilevel"/>
    <w:tmpl w:val="39E8E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700EA2"/>
    <w:multiLevelType w:val="hybridMultilevel"/>
    <w:tmpl w:val="A286603E"/>
    <w:lvl w:ilvl="0" w:tplc="9B30FB74">
      <w:start w:val="1"/>
      <w:numFmt w:val="upperRoman"/>
      <w:pStyle w:val="Heading1"/>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7D6905"/>
    <w:multiLevelType w:val="hybridMultilevel"/>
    <w:tmpl w:val="4AC00742"/>
    <w:lvl w:ilvl="0" w:tplc="2AFECC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75FB7"/>
    <w:multiLevelType w:val="hybridMultilevel"/>
    <w:tmpl w:val="A5C27F90"/>
    <w:lvl w:ilvl="0" w:tplc="4D3EDA8C">
      <w:start w:val="1"/>
      <w:numFmt w:val="decimal"/>
      <w:lvlText w:val="%1."/>
      <w:lvlJc w:val="left"/>
      <w:pPr>
        <w:ind w:left="720" w:hanging="360"/>
      </w:pPr>
      <w:rPr>
        <w:rFonts w:ascii="Arial" w:hAnsi="Arial"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7B596E"/>
    <w:multiLevelType w:val="hybridMultilevel"/>
    <w:tmpl w:val="3E0812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E12EEA"/>
    <w:multiLevelType w:val="hybridMultilevel"/>
    <w:tmpl w:val="2B7C9150"/>
    <w:lvl w:ilvl="0" w:tplc="2D9886BA">
      <w:start w:val="1"/>
      <w:numFmt w:val="decimal"/>
      <w:lvlText w:val="%1."/>
      <w:lvlJc w:val="left"/>
      <w:pPr>
        <w:ind w:left="720" w:hanging="360"/>
      </w:pPr>
      <w:rPr>
        <w:rFonts w:eastAsia="Calibri"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BE7B64"/>
    <w:multiLevelType w:val="hybridMultilevel"/>
    <w:tmpl w:val="1D243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D035FD"/>
    <w:multiLevelType w:val="hybridMultilevel"/>
    <w:tmpl w:val="CA38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764DD"/>
    <w:multiLevelType w:val="hybridMultilevel"/>
    <w:tmpl w:val="5860C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62139C"/>
    <w:multiLevelType w:val="hybridMultilevel"/>
    <w:tmpl w:val="9554571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703982"/>
    <w:multiLevelType w:val="hybridMultilevel"/>
    <w:tmpl w:val="2B7C9150"/>
    <w:lvl w:ilvl="0" w:tplc="2D9886BA">
      <w:start w:val="1"/>
      <w:numFmt w:val="decimal"/>
      <w:lvlText w:val="%1."/>
      <w:lvlJc w:val="left"/>
      <w:pPr>
        <w:ind w:left="720" w:hanging="360"/>
      </w:pPr>
      <w:rPr>
        <w:rFonts w:eastAsia="Calibri"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AB28EE"/>
    <w:multiLevelType w:val="hybridMultilevel"/>
    <w:tmpl w:val="2B7C9150"/>
    <w:lvl w:ilvl="0" w:tplc="2D9886BA">
      <w:start w:val="1"/>
      <w:numFmt w:val="decimal"/>
      <w:lvlText w:val="%1."/>
      <w:lvlJc w:val="left"/>
      <w:pPr>
        <w:ind w:left="720" w:hanging="360"/>
      </w:pPr>
      <w:rPr>
        <w:rFonts w:eastAsia="Calibri"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270E01"/>
    <w:multiLevelType w:val="hybridMultilevel"/>
    <w:tmpl w:val="871A7E48"/>
    <w:lvl w:ilvl="0" w:tplc="6582BE9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E51500"/>
    <w:multiLevelType w:val="hybridMultilevel"/>
    <w:tmpl w:val="2AFED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E920A9"/>
    <w:multiLevelType w:val="hybridMultilevel"/>
    <w:tmpl w:val="A76EA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302950"/>
    <w:multiLevelType w:val="hybridMultilevel"/>
    <w:tmpl w:val="AD60C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8F70FD"/>
    <w:multiLevelType w:val="hybridMultilevel"/>
    <w:tmpl w:val="8F9253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14401FC"/>
    <w:multiLevelType w:val="hybridMultilevel"/>
    <w:tmpl w:val="4A6220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8144E2"/>
    <w:multiLevelType w:val="hybridMultilevel"/>
    <w:tmpl w:val="D018CB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15"/>
  </w:num>
  <w:num w:numId="4">
    <w:abstractNumId w:val="21"/>
  </w:num>
  <w:num w:numId="5">
    <w:abstractNumId w:val="18"/>
  </w:num>
  <w:num w:numId="6">
    <w:abstractNumId w:val="11"/>
  </w:num>
  <w:num w:numId="7">
    <w:abstractNumId w:val="5"/>
  </w:num>
  <w:num w:numId="8">
    <w:abstractNumId w:val="3"/>
  </w:num>
  <w:num w:numId="9">
    <w:abstractNumId w:val="21"/>
  </w:num>
  <w:num w:numId="10">
    <w:abstractNumId w:val="9"/>
  </w:num>
  <w:num w:numId="11">
    <w:abstractNumId w:val="19"/>
  </w:num>
  <w:num w:numId="12">
    <w:abstractNumId w:val="8"/>
  </w:num>
  <w:num w:numId="13">
    <w:abstractNumId w:val="14"/>
  </w:num>
  <w:num w:numId="14">
    <w:abstractNumId w:val="1"/>
  </w:num>
  <w:num w:numId="15">
    <w:abstractNumId w:val="13"/>
  </w:num>
  <w:num w:numId="16">
    <w:abstractNumId w:val="10"/>
  </w:num>
  <w:num w:numId="17">
    <w:abstractNumId w:val="2"/>
  </w:num>
  <w:num w:numId="18">
    <w:abstractNumId w:val="17"/>
  </w:num>
  <w:num w:numId="19">
    <w:abstractNumId w:val="0"/>
  </w:num>
  <w:num w:numId="20">
    <w:abstractNumId w:val="20"/>
  </w:num>
  <w:num w:numId="21">
    <w:abstractNumId w:val="4"/>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Moves/>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63A"/>
    <w:rsid w:val="00000302"/>
    <w:rsid w:val="00004C2A"/>
    <w:rsid w:val="00044EC1"/>
    <w:rsid w:val="00045BE9"/>
    <w:rsid w:val="00046954"/>
    <w:rsid w:val="0005061F"/>
    <w:rsid w:val="000628D5"/>
    <w:rsid w:val="0007008D"/>
    <w:rsid w:val="00073743"/>
    <w:rsid w:val="00087898"/>
    <w:rsid w:val="00093928"/>
    <w:rsid w:val="000A4009"/>
    <w:rsid w:val="000A6DCF"/>
    <w:rsid w:val="000D300A"/>
    <w:rsid w:val="000D4382"/>
    <w:rsid w:val="000E224C"/>
    <w:rsid w:val="000F301F"/>
    <w:rsid w:val="000F466F"/>
    <w:rsid w:val="00102465"/>
    <w:rsid w:val="00107F00"/>
    <w:rsid w:val="00111F68"/>
    <w:rsid w:val="0011695A"/>
    <w:rsid w:val="001206DF"/>
    <w:rsid w:val="00131F9F"/>
    <w:rsid w:val="001327C9"/>
    <w:rsid w:val="001424B3"/>
    <w:rsid w:val="00145F26"/>
    <w:rsid w:val="00147B1C"/>
    <w:rsid w:val="001705A4"/>
    <w:rsid w:val="00171050"/>
    <w:rsid w:val="00175AAE"/>
    <w:rsid w:val="001A2DE2"/>
    <w:rsid w:val="001B495E"/>
    <w:rsid w:val="001C12DA"/>
    <w:rsid w:val="001C379D"/>
    <w:rsid w:val="001D0EEF"/>
    <w:rsid w:val="002003C9"/>
    <w:rsid w:val="0020053D"/>
    <w:rsid w:val="0020249D"/>
    <w:rsid w:val="00203DCB"/>
    <w:rsid w:val="002056F2"/>
    <w:rsid w:val="0021000D"/>
    <w:rsid w:val="002113F1"/>
    <w:rsid w:val="00215C4F"/>
    <w:rsid w:val="00216AC7"/>
    <w:rsid w:val="0022791B"/>
    <w:rsid w:val="00230F73"/>
    <w:rsid w:val="00246DA4"/>
    <w:rsid w:val="0026416B"/>
    <w:rsid w:val="002735F3"/>
    <w:rsid w:val="0028164F"/>
    <w:rsid w:val="00282352"/>
    <w:rsid w:val="00292130"/>
    <w:rsid w:val="0029234D"/>
    <w:rsid w:val="00296450"/>
    <w:rsid w:val="002A00A4"/>
    <w:rsid w:val="002B5D4B"/>
    <w:rsid w:val="002E2AEF"/>
    <w:rsid w:val="002F21A1"/>
    <w:rsid w:val="00300833"/>
    <w:rsid w:val="0030679F"/>
    <w:rsid w:val="00322332"/>
    <w:rsid w:val="00322D5C"/>
    <w:rsid w:val="00335B42"/>
    <w:rsid w:val="00345A86"/>
    <w:rsid w:val="003566DF"/>
    <w:rsid w:val="00366A90"/>
    <w:rsid w:val="00377458"/>
    <w:rsid w:val="0038587B"/>
    <w:rsid w:val="00395819"/>
    <w:rsid w:val="003B25F5"/>
    <w:rsid w:val="003D3B8A"/>
    <w:rsid w:val="003D4B47"/>
    <w:rsid w:val="003E2E74"/>
    <w:rsid w:val="003F7D4F"/>
    <w:rsid w:val="00410392"/>
    <w:rsid w:val="00423E7A"/>
    <w:rsid w:val="004245F3"/>
    <w:rsid w:val="00436EF2"/>
    <w:rsid w:val="00437FBC"/>
    <w:rsid w:val="00473B20"/>
    <w:rsid w:val="00484159"/>
    <w:rsid w:val="00485E70"/>
    <w:rsid w:val="00487544"/>
    <w:rsid w:val="00497651"/>
    <w:rsid w:val="004A1A46"/>
    <w:rsid w:val="004A1FBB"/>
    <w:rsid w:val="004B0AF9"/>
    <w:rsid w:val="004B105B"/>
    <w:rsid w:val="004E1FAF"/>
    <w:rsid w:val="004E2CE5"/>
    <w:rsid w:val="004E48B2"/>
    <w:rsid w:val="004E79DD"/>
    <w:rsid w:val="004F5D5A"/>
    <w:rsid w:val="0050385D"/>
    <w:rsid w:val="00506124"/>
    <w:rsid w:val="005151BE"/>
    <w:rsid w:val="005218B9"/>
    <w:rsid w:val="00523820"/>
    <w:rsid w:val="00526FD2"/>
    <w:rsid w:val="00527FD3"/>
    <w:rsid w:val="00534837"/>
    <w:rsid w:val="005356A1"/>
    <w:rsid w:val="00545A68"/>
    <w:rsid w:val="005801DF"/>
    <w:rsid w:val="005810E0"/>
    <w:rsid w:val="00582078"/>
    <w:rsid w:val="00582D63"/>
    <w:rsid w:val="00585266"/>
    <w:rsid w:val="005A6154"/>
    <w:rsid w:val="005A6AF4"/>
    <w:rsid w:val="005B0FA8"/>
    <w:rsid w:val="005B6D65"/>
    <w:rsid w:val="005B7913"/>
    <w:rsid w:val="005C1D82"/>
    <w:rsid w:val="005E74E5"/>
    <w:rsid w:val="005F02E1"/>
    <w:rsid w:val="005F02FD"/>
    <w:rsid w:val="005F231D"/>
    <w:rsid w:val="005F6B40"/>
    <w:rsid w:val="0060763A"/>
    <w:rsid w:val="006377E0"/>
    <w:rsid w:val="006571CB"/>
    <w:rsid w:val="00660127"/>
    <w:rsid w:val="00671654"/>
    <w:rsid w:val="00676BB6"/>
    <w:rsid w:val="006807FD"/>
    <w:rsid w:val="00694FAC"/>
    <w:rsid w:val="006A2F60"/>
    <w:rsid w:val="006C0E3A"/>
    <w:rsid w:val="006C14CA"/>
    <w:rsid w:val="006C4794"/>
    <w:rsid w:val="006E1EAC"/>
    <w:rsid w:val="006F6BAF"/>
    <w:rsid w:val="00706D72"/>
    <w:rsid w:val="00726151"/>
    <w:rsid w:val="00747F28"/>
    <w:rsid w:val="00761E24"/>
    <w:rsid w:val="00763BEE"/>
    <w:rsid w:val="007710A8"/>
    <w:rsid w:val="00772EB5"/>
    <w:rsid w:val="00775CEA"/>
    <w:rsid w:val="007875EF"/>
    <w:rsid w:val="007A126E"/>
    <w:rsid w:val="007A542F"/>
    <w:rsid w:val="007B5AE7"/>
    <w:rsid w:val="007C4456"/>
    <w:rsid w:val="007C4CE7"/>
    <w:rsid w:val="007C506B"/>
    <w:rsid w:val="007D04B7"/>
    <w:rsid w:val="007D75AA"/>
    <w:rsid w:val="007F78F6"/>
    <w:rsid w:val="00810F4B"/>
    <w:rsid w:val="008143E2"/>
    <w:rsid w:val="008207B4"/>
    <w:rsid w:val="00826635"/>
    <w:rsid w:val="00840755"/>
    <w:rsid w:val="00851CD7"/>
    <w:rsid w:val="008720D7"/>
    <w:rsid w:val="008827D7"/>
    <w:rsid w:val="00894846"/>
    <w:rsid w:val="0089532E"/>
    <w:rsid w:val="008A7CBA"/>
    <w:rsid w:val="008B1195"/>
    <w:rsid w:val="008B5CC9"/>
    <w:rsid w:val="008C2D0F"/>
    <w:rsid w:val="008D0CC8"/>
    <w:rsid w:val="008D2332"/>
    <w:rsid w:val="0090544F"/>
    <w:rsid w:val="00910F16"/>
    <w:rsid w:val="00915D51"/>
    <w:rsid w:val="00916C9D"/>
    <w:rsid w:val="00917500"/>
    <w:rsid w:val="00924BD1"/>
    <w:rsid w:val="00931B6F"/>
    <w:rsid w:val="0095474B"/>
    <w:rsid w:val="00956204"/>
    <w:rsid w:val="00976F74"/>
    <w:rsid w:val="00984332"/>
    <w:rsid w:val="00984FAF"/>
    <w:rsid w:val="00985F72"/>
    <w:rsid w:val="009A2E07"/>
    <w:rsid w:val="009B6948"/>
    <w:rsid w:val="009B7F89"/>
    <w:rsid w:val="009C2507"/>
    <w:rsid w:val="009C6E03"/>
    <w:rsid w:val="009D3CE6"/>
    <w:rsid w:val="009E1F65"/>
    <w:rsid w:val="009E6498"/>
    <w:rsid w:val="009F0657"/>
    <w:rsid w:val="009F33F1"/>
    <w:rsid w:val="00A102CD"/>
    <w:rsid w:val="00A24DD2"/>
    <w:rsid w:val="00A27DAB"/>
    <w:rsid w:val="00A349B0"/>
    <w:rsid w:val="00A3534B"/>
    <w:rsid w:val="00A359E0"/>
    <w:rsid w:val="00A40B88"/>
    <w:rsid w:val="00A6330A"/>
    <w:rsid w:val="00A642C2"/>
    <w:rsid w:val="00A77407"/>
    <w:rsid w:val="00A77DEF"/>
    <w:rsid w:val="00AA7FA6"/>
    <w:rsid w:val="00AC51C2"/>
    <w:rsid w:val="00AC7161"/>
    <w:rsid w:val="00AE355A"/>
    <w:rsid w:val="00AE3DAE"/>
    <w:rsid w:val="00AF314C"/>
    <w:rsid w:val="00AF567C"/>
    <w:rsid w:val="00AF71F3"/>
    <w:rsid w:val="00AF7527"/>
    <w:rsid w:val="00B11106"/>
    <w:rsid w:val="00B20FE3"/>
    <w:rsid w:val="00B21B3E"/>
    <w:rsid w:val="00B236C0"/>
    <w:rsid w:val="00B34BB2"/>
    <w:rsid w:val="00B3713E"/>
    <w:rsid w:val="00B4503A"/>
    <w:rsid w:val="00B53E7D"/>
    <w:rsid w:val="00B61F28"/>
    <w:rsid w:val="00B705D1"/>
    <w:rsid w:val="00B71447"/>
    <w:rsid w:val="00B8360F"/>
    <w:rsid w:val="00B84329"/>
    <w:rsid w:val="00BB5C30"/>
    <w:rsid w:val="00BB63DB"/>
    <w:rsid w:val="00BC5F76"/>
    <w:rsid w:val="00BC6D42"/>
    <w:rsid w:val="00BD000B"/>
    <w:rsid w:val="00BD4345"/>
    <w:rsid w:val="00BE722D"/>
    <w:rsid w:val="00BF0C86"/>
    <w:rsid w:val="00C01D1C"/>
    <w:rsid w:val="00C0335F"/>
    <w:rsid w:val="00C13461"/>
    <w:rsid w:val="00C34B28"/>
    <w:rsid w:val="00C544C3"/>
    <w:rsid w:val="00C6447D"/>
    <w:rsid w:val="00C71B5F"/>
    <w:rsid w:val="00C91D26"/>
    <w:rsid w:val="00CA10EF"/>
    <w:rsid w:val="00CB2B38"/>
    <w:rsid w:val="00CE0925"/>
    <w:rsid w:val="00CF0A67"/>
    <w:rsid w:val="00CF4468"/>
    <w:rsid w:val="00CF55CA"/>
    <w:rsid w:val="00CF6CBE"/>
    <w:rsid w:val="00D0750C"/>
    <w:rsid w:val="00D1788A"/>
    <w:rsid w:val="00D22552"/>
    <w:rsid w:val="00D23854"/>
    <w:rsid w:val="00D30ED8"/>
    <w:rsid w:val="00D31DE4"/>
    <w:rsid w:val="00D44892"/>
    <w:rsid w:val="00D63857"/>
    <w:rsid w:val="00D641B8"/>
    <w:rsid w:val="00D66150"/>
    <w:rsid w:val="00D66C64"/>
    <w:rsid w:val="00D66E58"/>
    <w:rsid w:val="00D71883"/>
    <w:rsid w:val="00D80B0B"/>
    <w:rsid w:val="00D81A8F"/>
    <w:rsid w:val="00DA5DD7"/>
    <w:rsid w:val="00DA6214"/>
    <w:rsid w:val="00DB0970"/>
    <w:rsid w:val="00DB506C"/>
    <w:rsid w:val="00DB5935"/>
    <w:rsid w:val="00DC0711"/>
    <w:rsid w:val="00DD5008"/>
    <w:rsid w:val="00DD5D0D"/>
    <w:rsid w:val="00DE02C6"/>
    <w:rsid w:val="00DE1C5E"/>
    <w:rsid w:val="00DE59ED"/>
    <w:rsid w:val="00E10F96"/>
    <w:rsid w:val="00E27F0E"/>
    <w:rsid w:val="00E31BCA"/>
    <w:rsid w:val="00E33330"/>
    <w:rsid w:val="00E471F4"/>
    <w:rsid w:val="00E505D0"/>
    <w:rsid w:val="00E53E50"/>
    <w:rsid w:val="00E616CE"/>
    <w:rsid w:val="00E70FF3"/>
    <w:rsid w:val="00E73F11"/>
    <w:rsid w:val="00E760B1"/>
    <w:rsid w:val="00E81245"/>
    <w:rsid w:val="00E8136A"/>
    <w:rsid w:val="00E871D1"/>
    <w:rsid w:val="00E91AD7"/>
    <w:rsid w:val="00E9693C"/>
    <w:rsid w:val="00EA321D"/>
    <w:rsid w:val="00EA36B0"/>
    <w:rsid w:val="00EB0C35"/>
    <w:rsid w:val="00EB623B"/>
    <w:rsid w:val="00EB6909"/>
    <w:rsid w:val="00EC3122"/>
    <w:rsid w:val="00EC38FE"/>
    <w:rsid w:val="00EC3EC8"/>
    <w:rsid w:val="00ED1939"/>
    <w:rsid w:val="00EE0B78"/>
    <w:rsid w:val="00EE16A1"/>
    <w:rsid w:val="00EE1E81"/>
    <w:rsid w:val="00EE4791"/>
    <w:rsid w:val="00EF2635"/>
    <w:rsid w:val="00EF6B23"/>
    <w:rsid w:val="00F12E1D"/>
    <w:rsid w:val="00F17508"/>
    <w:rsid w:val="00F17B2C"/>
    <w:rsid w:val="00F337BB"/>
    <w:rsid w:val="00F42F88"/>
    <w:rsid w:val="00F512EB"/>
    <w:rsid w:val="00F536F3"/>
    <w:rsid w:val="00F87164"/>
    <w:rsid w:val="00FD1837"/>
    <w:rsid w:val="00FE1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158ED4"/>
  <w15:docId w15:val="{1648FF0C-FF41-4506-BF0F-FDD128B9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8136A"/>
    <w:pPr>
      <w:keepNext/>
      <w:numPr>
        <w:numId w:val="21"/>
      </w:numPr>
      <w:spacing w:after="0" w:line="240" w:lineRule="auto"/>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63A"/>
    <w:pPr>
      <w:autoSpaceDE w:val="0"/>
      <w:autoSpaceDN w:val="0"/>
      <w:adjustRightInd w:val="0"/>
    </w:pPr>
    <w:rPr>
      <w:rFonts w:ascii="Times New Roman" w:hAnsi="Times New Roman"/>
      <w:color w:val="000000"/>
      <w:sz w:val="24"/>
      <w:szCs w:val="24"/>
      <w:lang w:eastAsia="en-US"/>
    </w:rPr>
  </w:style>
  <w:style w:type="character" w:styleId="Strong">
    <w:name w:val="Strong"/>
    <w:uiPriority w:val="22"/>
    <w:qFormat/>
    <w:rsid w:val="00B84329"/>
    <w:rPr>
      <w:b/>
      <w:bCs/>
    </w:rPr>
  </w:style>
  <w:style w:type="paragraph" w:styleId="CommentText">
    <w:name w:val="annotation text"/>
    <w:basedOn w:val="Normal"/>
    <w:link w:val="CommentTextChar"/>
    <w:uiPriority w:val="99"/>
    <w:unhideWhenUsed/>
    <w:rsid w:val="005151BE"/>
    <w:rPr>
      <w:sz w:val="24"/>
      <w:szCs w:val="24"/>
      <w:lang w:val="x-none"/>
    </w:rPr>
  </w:style>
  <w:style w:type="character" w:customStyle="1" w:styleId="CommentTextChar">
    <w:name w:val="Comment Text Char"/>
    <w:link w:val="CommentText"/>
    <w:uiPriority w:val="99"/>
    <w:rsid w:val="005151BE"/>
    <w:rPr>
      <w:sz w:val="24"/>
      <w:szCs w:val="24"/>
      <w:lang w:eastAsia="en-US"/>
    </w:rPr>
  </w:style>
  <w:style w:type="paragraph" w:styleId="BalloonText">
    <w:name w:val="Balloon Text"/>
    <w:basedOn w:val="Normal"/>
    <w:link w:val="BalloonTextChar"/>
    <w:uiPriority w:val="99"/>
    <w:semiHidden/>
    <w:unhideWhenUsed/>
    <w:rsid w:val="005151B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151BE"/>
    <w:rPr>
      <w:rFonts w:ascii="Tahoma" w:hAnsi="Tahoma" w:cs="Tahoma"/>
      <w:sz w:val="16"/>
      <w:szCs w:val="16"/>
      <w:lang w:eastAsia="en-US"/>
    </w:rPr>
  </w:style>
  <w:style w:type="table" w:styleId="TableGrid">
    <w:name w:val="Table Grid"/>
    <w:basedOn w:val="TableNormal"/>
    <w:uiPriority w:val="59"/>
    <w:rsid w:val="00BD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D1939"/>
    <w:rPr>
      <w:sz w:val="16"/>
      <w:szCs w:val="16"/>
    </w:rPr>
  </w:style>
  <w:style w:type="paragraph" w:styleId="CommentSubject">
    <w:name w:val="annotation subject"/>
    <w:basedOn w:val="CommentText"/>
    <w:next w:val="CommentText"/>
    <w:link w:val="CommentSubjectChar"/>
    <w:uiPriority w:val="99"/>
    <w:semiHidden/>
    <w:unhideWhenUsed/>
    <w:rsid w:val="00ED1939"/>
    <w:rPr>
      <w:b/>
      <w:bCs/>
    </w:rPr>
  </w:style>
  <w:style w:type="character" w:customStyle="1" w:styleId="CommentSubjectChar">
    <w:name w:val="Comment Subject Char"/>
    <w:link w:val="CommentSubject"/>
    <w:uiPriority w:val="99"/>
    <w:semiHidden/>
    <w:rsid w:val="00ED1939"/>
    <w:rPr>
      <w:b/>
      <w:bCs/>
      <w:sz w:val="24"/>
      <w:szCs w:val="24"/>
      <w:lang w:eastAsia="en-US"/>
    </w:rPr>
  </w:style>
  <w:style w:type="character" w:styleId="Hyperlink">
    <w:name w:val="Hyperlink"/>
    <w:rsid w:val="0007008D"/>
    <w:rPr>
      <w:color w:val="0000FF"/>
      <w:u w:val="single"/>
    </w:rPr>
  </w:style>
  <w:style w:type="paragraph" w:styleId="Revision">
    <w:name w:val="Revision"/>
    <w:hidden/>
    <w:uiPriority w:val="99"/>
    <w:semiHidden/>
    <w:rsid w:val="00E70FF3"/>
    <w:rPr>
      <w:sz w:val="22"/>
      <w:szCs w:val="22"/>
      <w:lang w:eastAsia="en-US"/>
    </w:rPr>
  </w:style>
  <w:style w:type="paragraph" w:styleId="Header">
    <w:name w:val="header"/>
    <w:basedOn w:val="Normal"/>
    <w:link w:val="HeaderChar"/>
    <w:uiPriority w:val="99"/>
    <w:unhideWhenUsed/>
    <w:rsid w:val="0011695A"/>
    <w:pPr>
      <w:tabs>
        <w:tab w:val="center" w:pos="4536"/>
        <w:tab w:val="right" w:pos="9072"/>
      </w:tabs>
    </w:pPr>
    <w:rPr>
      <w:lang w:val="x-none"/>
    </w:rPr>
  </w:style>
  <w:style w:type="character" w:customStyle="1" w:styleId="HeaderChar">
    <w:name w:val="Header Char"/>
    <w:link w:val="Header"/>
    <w:uiPriority w:val="99"/>
    <w:rsid w:val="0011695A"/>
    <w:rPr>
      <w:sz w:val="22"/>
      <w:szCs w:val="22"/>
      <w:lang w:eastAsia="en-US"/>
    </w:rPr>
  </w:style>
  <w:style w:type="paragraph" w:styleId="Footer">
    <w:name w:val="footer"/>
    <w:basedOn w:val="Normal"/>
    <w:link w:val="FooterChar"/>
    <w:uiPriority w:val="99"/>
    <w:unhideWhenUsed/>
    <w:rsid w:val="0011695A"/>
    <w:pPr>
      <w:tabs>
        <w:tab w:val="center" w:pos="4536"/>
        <w:tab w:val="right" w:pos="9072"/>
      </w:tabs>
    </w:pPr>
    <w:rPr>
      <w:lang w:val="x-none"/>
    </w:rPr>
  </w:style>
  <w:style w:type="character" w:customStyle="1" w:styleId="FooterChar">
    <w:name w:val="Footer Char"/>
    <w:link w:val="Footer"/>
    <w:uiPriority w:val="99"/>
    <w:rsid w:val="0011695A"/>
    <w:rPr>
      <w:sz w:val="22"/>
      <w:szCs w:val="22"/>
      <w:lang w:eastAsia="en-US"/>
    </w:rPr>
  </w:style>
  <w:style w:type="paragraph" w:styleId="NormalWeb">
    <w:name w:val="Normal (Web)"/>
    <w:basedOn w:val="Normal"/>
    <w:uiPriority w:val="99"/>
    <w:semiHidden/>
    <w:unhideWhenUsed/>
    <w:rsid w:val="00BF0C86"/>
    <w:pPr>
      <w:spacing w:before="100" w:beforeAutospacing="1" w:after="100" w:afterAutospacing="1" w:line="240" w:lineRule="auto"/>
    </w:pPr>
    <w:rPr>
      <w:rFonts w:ascii="Times New Roman" w:eastAsia="Times New Roman" w:hAnsi="Times New Roman"/>
      <w:sz w:val="24"/>
      <w:szCs w:val="24"/>
      <w:lang w:eastAsia="nl-NL"/>
    </w:rPr>
  </w:style>
  <w:style w:type="paragraph" w:styleId="PlainText">
    <w:name w:val="Plain Text"/>
    <w:basedOn w:val="Normal"/>
    <w:link w:val="PlainTextChar"/>
    <w:uiPriority w:val="99"/>
    <w:unhideWhenUsed/>
    <w:rsid w:val="00EE16A1"/>
    <w:pPr>
      <w:spacing w:after="0" w:line="240" w:lineRule="auto"/>
    </w:pPr>
    <w:rPr>
      <w:rFonts w:eastAsia="Times New Roman"/>
      <w:szCs w:val="21"/>
    </w:rPr>
  </w:style>
  <w:style w:type="character" w:customStyle="1" w:styleId="PlainTextChar">
    <w:name w:val="Plain Text Char"/>
    <w:basedOn w:val="DefaultParagraphFont"/>
    <w:link w:val="PlainText"/>
    <w:uiPriority w:val="99"/>
    <w:rsid w:val="00EE16A1"/>
    <w:rPr>
      <w:rFonts w:eastAsia="Times New Roman"/>
      <w:sz w:val="22"/>
      <w:szCs w:val="21"/>
      <w:lang w:eastAsia="en-US"/>
    </w:rPr>
  </w:style>
  <w:style w:type="paragraph" w:styleId="ListParagraph">
    <w:name w:val="List Paragraph"/>
    <w:basedOn w:val="Normal"/>
    <w:uiPriority w:val="34"/>
    <w:qFormat/>
    <w:rsid w:val="00345A86"/>
    <w:pPr>
      <w:ind w:left="720"/>
      <w:contextualSpacing/>
    </w:pPr>
  </w:style>
  <w:style w:type="character" w:styleId="FollowedHyperlink">
    <w:name w:val="FollowedHyperlink"/>
    <w:basedOn w:val="DefaultParagraphFont"/>
    <w:uiPriority w:val="99"/>
    <w:semiHidden/>
    <w:unhideWhenUsed/>
    <w:rsid w:val="005F231D"/>
    <w:rPr>
      <w:color w:val="800080" w:themeColor="followedHyperlink"/>
      <w:u w:val="single"/>
    </w:rPr>
  </w:style>
  <w:style w:type="paragraph" w:styleId="FootnoteText">
    <w:name w:val="footnote text"/>
    <w:basedOn w:val="Normal"/>
    <w:link w:val="FootnoteTextChar"/>
    <w:uiPriority w:val="99"/>
    <w:semiHidden/>
    <w:unhideWhenUsed/>
    <w:rsid w:val="00A77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DEF"/>
    <w:rPr>
      <w:lang w:eastAsia="en-US"/>
    </w:rPr>
  </w:style>
  <w:style w:type="character" w:styleId="FootnoteReference">
    <w:name w:val="footnote reference"/>
    <w:basedOn w:val="DefaultParagraphFont"/>
    <w:uiPriority w:val="99"/>
    <w:semiHidden/>
    <w:unhideWhenUsed/>
    <w:rsid w:val="00A77DEF"/>
    <w:rPr>
      <w:vertAlign w:val="superscript"/>
    </w:rPr>
  </w:style>
  <w:style w:type="character" w:customStyle="1" w:styleId="Heading1Char">
    <w:name w:val="Heading 1 Char"/>
    <w:basedOn w:val="DefaultParagraphFont"/>
    <w:link w:val="Heading1"/>
    <w:rsid w:val="00E8136A"/>
    <w:rPr>
      <w:rFonts w:ascii="Times New Roman" w:eastAsia="Times New Roma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80487">
      <w:bodyDiv w:val="1"/>
      <w:marLeft w:val="0"/>
      <w:marRight w:val="0"/>
      <w:marTop w:val="0"/>
      <w:marBottom w:val="0"/>
      <w:divBdr>
        <w:top w:val="none" w:sz="0" w:space="0" w:color="auto"/>
        <w:left w:val="none" w:sz="0" w:space="0" w:color="auto"/>
        <w:bottom w:val="none" w:sz="0" w:space="0" w:color="auto"/>
        <w:right w:val="none" w:sz="0" w:space="0" w:color="auto"/>
      </w:divBdr>
    </w:div>
    <w:div w:id="383138760">
      <w:bodyDiv w:val="1"/>
      <w:marLeft w:val="0"/>
      <w:marRight w:val="0"/>
      <w:marTop w:val="0"/>
      <w:marBottom w:val="0"/>
      <w:divBdr>
        <w:top w:val="none" w:sz="0" w:space="0" w:color="auto"/>
        <w:left w:val="none" w:sz="0" w:space="0" w:color="auto"/>
        <w:bottom w:val="none" w:sz="0" w:space="0" w:color="auto"/>
        <w:right w:val="none" w:sz="0" w:space="0" w:color="auto"/>
      </w:divBdr>
    </w:div>
    <w:div w:id="475799982">
      <w:bodyDiv w:val="1"/>
      <w:marLeft w:val="0"/>
      <w:marRight w:val="0"/>
      <w:marTop w:val="0"/>
      <w:marBottom w:val="0"/>
      <w:divBdr>
        <w:top w:val="none" w:sz="0" w:space="0" w:color="auto"/>
        <w:left w:val="none" w:sz="0" w:space="0" w:color="auto"/>
        <w:bottom w:val="none" w:sz="0" w:space="0" w:color="auto"/>
        <w:right w:val="none" w:sz="0" w:space="0" w:color="auto"/>
      </w:divBdr>
    </w:div>
    <w:div w:id="514609585">
      <w:bodyDiv w:val="1"/>
      <w:marLeft w:val="0"/>
      <w:marRight w:val="0"/>
      <w:marTop w:val="0"/>
      <w:marBottom w:val="0"/>
      <w:divBdr>
        <w:top w:val="none" w:sz="0" w:space="0" w:color="auto"/>
        <w:left w:val="none" w:sz="0" w:space="0" w:color="auto"/>
        <w:bottom w:val="none" w:sz="0" w:space="0" w:color="auto"/>
        <w:right w:val="none" w:sz="0" w:space="0" w:color="auto"/>
      </w:divBdr>
    </w:div>
    <w:div w:id="1327856921">
      <w:bodyDiv w:val="1"/>
      <w:marLeft w:val="0"/>
      <w:marRight w:val="0"/>
      <w:marTop w:val="0"/>
      <w:marBottom w:val="0"/>
      <w:divBdr>
        <w:top w:val="none" w:sz="0" w:space="0" w:color="auto"/>
        <w:left w:val="none" w:sz="0" w:space="0" w:color="auto"/>
        <w:bottom w:val="none" w:sz="0" w:space="0" w:color="auto"/>
        <w:right w:val="none" w:sz="0" w:space="0" w:color="auto"/>
      </w:divBdr>
    </w:div>
    <w:div w:id="1431313448">
      <w:bodyDiv w:val="1"/>
      <w:marLeft w:val="0"/>
      <w:marRight w:val="0"/>
      <w:marTop w:val="0"/>
      <w:marBottom w:val="0"/>
      <w:divBdr>
        <w:top w:val="none" w:sz="0" w:space="0" w:color="auto"/>
        <w:left w:val="none" w:sz="0" w:space="0" w:color="auto"/>
        <w:bottom w:val="none" w:sz="0" w:space="0" w:color="auto"/>
        <w:right w:val="none" w:sz="0" w:space="0" w:color="auto"/>
      </w:divBdr>
    </w:div>
    <w:div w:id="1586769845">
      <w:bodyDiv w:val="1"/>
      <w:marLeft w:val="0"/>
      <w:marRight w:val="0"/>
      <w:marTop w:val="0"/>
      <w:marBottom w:val="0"/>
      <w:divBdr>
        <w:top w:val="none" w:sz="0" w:space="0" w:color="auto"/>
        <w:left w:val="none" w:sz="0" w:space="0" w:color="auto"/>
        <w:bottom w:val="none" w:sz="0" w:space="0" w:color="auto"/>
        <w:right w:val="none" w:sz="0" w:space="0" w:color="auto"/>
      </w:divBdr>
    </w:div>
    <w:div w:id="2009405507">
      <w:bodyDiv w:val="1"/>
      <w:marLeft w:val="0"/>
      <w:marRight w:val="0"/>
      <w:marTop w:val="0"/>
      <w:marBottom w:val="0"/>
      <w:divBdr>
        <w:top w:val="none" w:sz="0" w:space="0" w:color="auto"/>
        <w:left w:val="none" w:sz="0" w:space="0" w:color="auto"/>
        <w:bottom w:val="none" w:sz="0" w:space="0" w:color="auto"/>
        <w:right w:val="none" w:sz="0" w:space="0" w:color="auto"/>
      </w:divBdr>
    </w:div>
    <w:div w:id="21340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btweb.org/fileadmin/user_upload/Proposed_definitions_2011_surveillance_non_infectious_adverse_reactions_haemovigilance_incl_TRALI_correction_2013.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sbtweb.org/fileadmin/user_upload/Proposed_definitions_2011_surveillance_non_infectious_adverse_reactions_haemovigilance_incl_TRALI_correction_201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hotuk.org/wp-content/uploads/SHOT-2015-Annual-Report-Web-Edition-Final-bookmarked-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2CB575B283C5041913044516AD6EF63" ma:contentTypeVersion="1" ma:contentTypeDescription="Create a new document." ma:contentTypeScope="" ma:versionID="ed197f918e5726c42621624cb8c65803">
  <xsd:schema xmlns:xsd="http://www.w3.org/2001/XMLSchema" xmlns:xs="http://www.w3.org/2001/XMLSchema" xmlns:p="http://schemas.microsoft.com/office/2006/metadata/properties" xmlns:ns2="469eb4a3-20d6-48b3-b975-85858b529567" targetNamespace="http://schemas.microsoft.com/office/2006/metadata/properties" ma:root="true" ma:fieldsID="ab30295575606ff449bcf48561c513c7" ns2:_="">
    <xsd:import namespace="469eb4a3-20d6-48b3-b975-85858b52956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eb4a3-20d6-48b3-b975-85858b5295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69eb4a3-20d6-48b3-b975-85858b529567">6FYPA4SDC2JA-108-793</_dlc_DocId>
    <_dlc_DocIdUrl xmlns="469eb4a3-20d6-48b3-b975-85858b529567">
      <Url>http://sharepoint.aabb.org/Departments/dataprograms/_layouts/DocIdRedir.aspx?ID=6FYPA4SDC2JA-108-793</Url>
      <Description>6FYPA4SDC2JA-108-793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B1AD-D330-47AD-A813-43EA6BCAD600}">
  <ds:schemaRefs>
    <ds:schemaRef ds:uri="http://schemas.microsoft.com/sharepoint/events"/>
  </ds:schemaRefs>
</ds:datastoreItem>
</file>

<file path=customXml/itemProps2.xml><?xml version="1.0" encoding="utf-8"?>
<ds:datastoreItem xmlns:ds="http://schemas.openxmlformats.org/officeDocument/2006/customXml" ds:itemID="{26ED93A4-A080-4C0C-9E5E-825137F1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eb4a3-20d6-48b3-b975-85858b529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3388-B2AE-4C31-8B75-B9E3CBB495F3}">
  <ds:schemaRefs>
    <ds:schemaRef ds:uri="http://schemas.microsoft.com/office/2006/metadata/properties"/>
    <ds:schemaRef ds:uri="http://schemas.microsoft.com/office/infopath/2007/PartnerControls"/>
    <ds:schemaRef ds:uri="469eb4a3-20d6-48b3-b975-85858b529567"/>
  </ds:schemaRefs>
</ds:datastoreItem>
</file>

<file path=customXml/itemProps4.xml><?xml version="1.0" encoding="utf-8"?>
<ds:datastoreItem xmlns:ds="http://schemas.openxmlformats.org/officeDocument/2006/customXml" ds:itemID="{C56F730D-5A54-41D3-B07C-FF93CABB013B}">
  <ds:schemaRefs>
    <ds:schemaRef ds:uri="http://schemas.microsoft.com/sharepoint/v3/contenttype/forms"/>
  </ds:schemaRefs>
</ds:datastoreItem>
</file>

<file path=customXml/itemProps5.xml><?xml version="1.0" encoding="utf-8"?>
<ds:datastoreItem xmlns:ds="http://schemas.openxmlformats.org/officeDocument/2006/customXml" ds:itemID="{A02FA1CE-E4FF-410D-AB6E-130215F3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13385</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Transfusion-associated circulatory overload (TACO)</vt:lpstr>
      <vt:lpstr>Transfusion-associated circulatory overload (TACO)</vt:lpstr>
    </vt:vector>
  </TitlesOfParts>
  <Company>HP</Company>
  <LinksUpToDate>false</LinksUpToDate>
  <CharactersWithSpaces>15702</CharactersWithSpaces>
  <SharedDoc>false</SharedDoc>
  <HLinks>
    <vt:vector size="12" baseType="variant">
      <vt:variant>
        <vt:i4>7143427</vt:i4>
      </vt:variant>
      <vt:variant>
        <vt:i4>3</vt:i4>
      </vt:variant>
      <vt:variant>
        <vt:i4>0</vt:i4>
      </vt:variant>
      <vt:variant>
        <vt:i4>5</vt:i4>
      </vt:variant>
      <vt:variant>
        <vt:lpwstr>mailto:j.wiersum@tripnet.nl</vt:lpwstr>
      </vt:variant>
      <vt:variant>
        <vt:lpwstr/>
      </vt:variant>
      <vt:variant>
        <vt:i4>5832818</vt:i4>
      </vt:variant>
      <vt:variant>
        <vt:i4>0</vt:i4>
      </vt:variant>
      <vt:variant>
        <vt:i4>0</vt:i4>
      </vt:variant>
      <vt:variant>
        <vt:i4>5</vt:i4>
      </vt:variant>
      <vt:variant>
        <vt:lpwstr>mailto:kland@bloodsystems.org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Transfusion-associated circulatory overload (TACO)</dc:title>
  <dc:creator>Jo Wiersum</dc:creator>
  <cp:lastModifiedBy>Srijana Rajbhandary</cp:lastModifiedBy>
  <cp:revision>2</cp:revision>
  <cp:lastPrinted>2014-10-30T15:48:00Z</cp:lastPrinted>
  <dcterms:created xsi:type="dcterms:W3CDTF">2017-09-21T20:49:00Z</dcterms:created>
  <dcterms:modified xsi:type="dcterms:W3CDTF">2017-09-21T20:49:00Z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0x01010002CB575B283C5041913044516AD6EF63</vt:lpwstr>
  </property>
  <property fmtid="{D5CDD505-2E9C-101B-9397-08002B2CF9AE}" pid="3" name="_dlc_DocIdItemGuid">
    <vt:lpwstr>e0c1e667-4805-4ab1-a399-2c1572495b43</vt:lpwstr>
  </property>
</Properties>
</file>